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AF80B" w14:textId="77777777" w:rsidR="00EA58CE" w:rsidRDefault="00C1220B" w:rsidP="00EA58CE">
      <w:pPr>
        <w:pStyle w:val="Sansinterligne"/>
        <w:rPr>
          <w:b/>
          <w:color w:val="1F497D" w:themeColor="text2"/>
          <w:sz w:val="32"/>
          <w:szCs w:val="32"/>
          <w:u w:val="single"/>
        </w:rPr>
      </w:pPr>
      <w:bookmarkStart w:id="0" w:name="_GoBack"/>
      <w:bookmarkEnd w:id="0"/>
      <w:r>
        <w:rPr>
          <w:noProof/>
          <w:lang w:eastAsia="fr-FR"/>
        </w:rPr>
        <w:drawing>
          <wp:anchor distT="0" distB="0" distL="114300" distR="114300" simplePos="0" relativeHeight="251660288" behindDoc="0" locked="0" layoutInCell="1" allowOverlap="1" wp14:anchorId="7F731F0A" wp14:editId="7E7AAD7A">
            <wp:simplePos x="0" y="0"/>
            <wp:positionH relativeFrom="margin">
              <wp:posOffset>2357755</wp:posOffset>
            </wp:positionH>
            <wp:positionV relativeFrom="margin">
              <wp:posOffset>-10795</wp:posOffset>
            </wp:positionV>
            <wp:extent cx="3145155" cy="64770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15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435E226C" wp14:editId="0D5B61E1">
            <wp:simplePos x="0" y="0"/>
            <wp:positionH relativeFrom="column">
              <wp:posOffset>103505</wp:posOffset>
            </wp:positionH>
            <wp:positionV relativeFrom="paragraph">
              <wp:posOffset>-302895</wp:posOffset>
            </wp:positionV>
            <wp:extent cx="2076450" cy="1384300"/>
            <wp:effectExtent l="0" t="0" r="0" b="635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455A4" w14:textId="77777777" w:rsidR="00EA58CE" w:rsidRDefault="00EA58CE" w:rsidP="00EA58CE">
      <w:pPr>
        <w:pStyle w:val="Sansinterligne"/>
        <w:rPr>
          <w:b/>
          <w:color w:val="1F497D" w:themeColor="text2"/>
          <w:sz w:val="32"/>
          <w:szCs w:val="32"/>
          <w:u w:val="single"/>
        </w:rPr>
      </w:pPr>
    </w:p>
    <w:p w14:paraId="2DC99C33" w14:textId="77777777" w:rsidR="00EA58CE" w:rsidRDefault="00EA58CE" w:rsidP="00EA58CE">
      <w:pPr>
        <w:pStyle w:val="Sansinterligne"/>
        <w:rPr>
          <w:b/>
          <w:color w:val="1F497D" w:themeColor="text2"/>
          <w:sz w:val="32"/>
          <w:szCs w:val="32"/>
          <w:u w:val="single"/>
        </w:rPr>
      </w:pPr>
    </w:p>
    <w:p w14:paraId="50343DCB" w14:textId="77777777" w:rsidR="00EA58CE" w:rsidRDefault="00EA58CE" w:rsidP="00EA58CE">
      <w:pPr>
        <w:pStyle w:val="Sansinterligne"/>
        <w:rPr>
          <w:b/>
          <w:color w:val="1F497D" w:themeColor="text2"/>
          <w:sz w:val="32"/>
          <w:szCs w:val="32"/>
          <w:u w:val="single"/>
        </w:rPr>
      </w:pPr>
    </w:p>
    <w:p w14:paraId="4E8FC154" w14:textId="593B3A31" w:rsidR="00C1220B" w:rsidRPr="00EA58CE" w:rsidRDefault="00C1220B" w:rsidP="00EA58CE">
      <w:pPr>
        <w:pStyle w:val="Sansinterligne"/>
        <w:jc w:val="center"/>
        <w:rPr>
          <w:b/>
          <w:color w:val="1F497D" w:themeColor="text2"/>
          <w:sz w:val="32"/>
          <w:szCs w:val="32"/>
          <w:u w:val="single"/>
        </w:rPr>
      </w:pPr>
      <w:r>
        <w:rPr>
          <w:b/>
          <w:color w:val="1F497D" w:themeColor="text2"/>
          <w:sz w:val="32"/>
          <w:szCs w:val="32"/>
          <w:u w:val="single"/>
        </w:rPr>
        <w:t>E</w:t>
      </w:r>
      <w:r w:rsidRPr="00CE0EA1">
        <w:rPr>
          <w:b/>
          <w:color w:val="1F497D" w:themeColor="text2"/>
          <w:sz w:val="32"/>
          <w:szCs w:val="32"/>
          <w:u w:val="single"/>
        </w:rPr>
        <w:t>mballages et produits en plastique</w:t>
      </w:r>
      <w:r>
        <w:rPr>
          <w:b/>
          <w:color w:val="1F497D" w:themeColor="text2"/>
          <w:sz w:val="32"/>
          <w:szCs w:val="32"/>
          <w:u w:val="single"/>
        </w:rPr>
        <w:t xml:space="preserve"> : point à </w:t>
      </w:r>
      <w:r w:rsidRPr="00CE0EA1">
        <w:rPr>
          <w:b/>
          <w:color w:val="1F497D" w:themeColor="text2"/>
          <w:sz w:val="32"/>
          <w:szCs w:val="32"/>
          <w:u w:val="single"/>
        </w:rPr>
        <w:t>date</w:t>
      </w:r>
    </w:p>
    <w:p w14:paraId="7BF88928" w14:textId="77777777" w:rsidR="00C1220B" w:rsidRDefault="00C1220B" w:rsidP="00C1220B">
      <w:pPr>
        <w:pStyle w:val="Sansinterligne"/>
        <w:jc w:val="both"/>
        <w:rPr>
          <w:b/>
          <w:color w:val="FF0000"/>
        </w:rPr>
      </w:pPr>
    </w:p>
    <w:p w14:paraId="08B2B4FA" w14:textId="2473C4FF" w:rsidR="00C1220B" w:rsidRDefault="00C1220B" w:rsidP="00C1220B">
      <w:pPr>
        <w:pStyle w:val="Sansinterligne"/>
        <w:jc w:val="both"/>
        <w:rPr>
          <w:i/>
        </w:rPr>
      </w:pPr>
      <w:r w:rsidRPr="00CE0EA1">
        <w:rPr>
          <w:i/>
        </w:rPr>
        <w:t xml:space="preserve">Cette note, commune </w:t>
      </w:r>
      <w:r w:rsidR="00622472">
        <w:rPr>
          <w:i/>
        </w:rPr>
        <w:t>à l’</w:t>
      </w:r>
      <w:r w:rsidR="00DC5924">
        <w:rPr>
          <w:i/>
        </w:rPr>
        <w:t xml:space="preserve">ANIA et </w:t>
      </w:r>
      <w:r w:rsidR="00622472">
        <w:rPr>
          <w:i/>
        </w:rPr>
        <w:t>la</w:t>
      </w:r>
      <w:r w:rsidRPr="00CE0EA1">
        <w:rPr>
          <w:i/>
        </w:rPr>
        <w:t xml:space="preserve"> FCD</w:t>
      </w:r>
      <w:r>
        <w:rPr>
          <w:i/>
        </w:rPr>
        <w:t xml:space="preserve">, </w:t>
      </w:r>
      <w:r w:rsidRPr="00CE0EA1">
        <w:rPr>
          <w:i/>
        </w:rPr>
        <w:t xml:space="preserve">se base </w:t>
      </w:r>
      <w:r>
        <w:rPr>
          <w:i/>
        </w:rPr>
        <w:t>sur la réglementation (et les projets de réglementation) à date concernant</w:t>
      </w:r>
      <w:r w:rsidRPr="00CE0EA1">
        <w:rPr>
          <w:i/>
        </w:rPr>
        <w:t xml:space="preserve"> la mise sur le marché des emballages et </w:t>
      </w:r>
      <w:r>
        <w:rPr>
          <w:i/>
        </w:rPr>
        <w:t>produits en plastique</w:t>
      </w:r>
      <w:r w:rsidR="00622472">
        <w:rPr>
          <w:i/>
        </w:rPr>
        <w:t>. Elle</w:t>
      </w:r>
      <w:r>
        <w:rPr>
          <w:i/>
        </w:rPr>
        <w:t xml:space="preserve"> répond à de</w:t>
      </w:r>
      <w:r w:rsidRPr="009B7DA6">
        <w:rPr>
          <w:i/>
        </w:rPr>
        <w:t>s questions récurrentes et met en exergue les points qui demandent clarification</w:t>
      </w:r>
      <w:r w:rsidR="00622472">
        <w:rPr>
          <w:i/>
        </w:rPr>
        <w:t xml:space="preserve"> ou</w:t>
      </w:r>
      <w:r w:rsidRPr="009B7DA6">
        <w:rPr>
          <w:i/>
        </w:rPr>
        <w:t xml:space="preserve"> restent en suspens. </w:t>
      </w:r>
      <w:r>
        <w:rPr>
          <w:i/>
        </w:rPr>
        <w:t xml:space="preserve">Elle </w:t>
      </w:r>
      <w:r w:rsidRPr="00CE0EA1">
        <w:rPr>
          <w:i/>
        </w:rPr>
        <w:t xml:space="preserve">a vocation à être enrichie par les évolutions réglementaires et </w:t>
      </w:r>
      <w:r>
        <w:rPr>
          <w:i/>
        </w:rPr>
        <w:t>l</w:t>
      </w:r>
      <w:r w:rsidRPr="00CE0EA1">
        <w:rPr>
          <w:i/>
        </w:rPr>
        <w:t xml:space="preserve">es questions des adhérents. </w:t>
      </w:r>
    </w:p>
    <w:p w14:paraId="4AD58E98" w14:textId="77777777" w:rsidR="00C1220B" w:rsidRDefault="00C1220B" w:rsidP="00C1220B">
      <w:pPr>
        <w:pStyle w:val="Sansinterligne"/>
        <w:jc w:val="both"/>
        <w:rPr>
          <w:i/>
        </w:rPr>
      </w:pPr>
    </w:p>
    <w:p w14:paraId="7DCC4AC3" w14:textId="77777777" w:rsidR="00C1220B" w:rsidRPr="00B339AC" w:rsidRDefault="00C1220B" w:rsidP="00C1220B">
      <w:pPr>
        <w:pStyle w:val="Sansinterligne"/>
        <w:jc w:val="both"/>
        <w:rPr>
          <w:bCs/>
          <w:iCs/>
        </w:rPr>
      </w:pPr>
      <w:r w:rsidRPr="00B339AC">
        <w:rPr>
          <w:bCs/>
          <w:iCs/>
        </w:rPr>
        <w:t>La base juridique des interdictions :</w:t>
      </w:r>
    </w:p>
    <w:p w14:paraId="215D0A1C" w14:textId="77777777" w:rsidR="00C1220B" w:rsidRDefault="00C1220B" w:rsidP="00C1220B">
      <w:pPr>
        <w:pStyle w:val="Sansinterligne"/>
        <w:jc w:val="both"/>
      </w:pPr>
    </w:p>
    <w:p w14:paraId="0959A3F9" w14:textId="77777777" w:rsidR="00C1220B" w:rsidRPr="00246D36" w:rsidRDefault="00C1220B" w:rsidP="00C1220B">
      <w:pPr>
        <w:pStyle w:val="Sansinterligne"/>
        <w:numPr>
          <w:ilvl w:val="0"/>
          <w:numId w:val="2"/>
        </w:numPr>
        <w:jc w:val="both"/>
        <w:rPr>
          <w:b/>
        </w:rPr>
      </w:pPr>
      <w:r w:rsidRPr="00132849">
        <w:rPr>
          <w:b/>
        </w:rPr>
        <w:t>La directive</w:t>
      </w:r>
      <w:r>
        <w:rPr>
          <w:b/>
        </w:rPr>
        <w:t xml:space="preserve"> 2019/904</w:t>
      </w:r>
      <w:r w:rsidRPr="00132849">
        <w:rPr>
          <w:b/>
        </w:rPr>
        <w:t xml:space="preserve"> </w:t>
      </w:r>
      <w:r>
        <w:rPr>
          <w:b/>
        </w:rPr>
        <w:t>relative à la réduction de l’incidence de certains produits en plastique sur l’environnement (SUP</w:t>
      </w:r>
      <w:r w:rsidRPr="00132849">
        <w:rPr>
          <w:b/>
        </w:rPr>
        <w:t>)</w:t>
      </w:r>
      <w:r>
        <w:rPr>
          <w:b/>
        </w:rPr>
        <w:t xml:space="preserve"> du 5</w:t>
      </w:r>
      <w:r w:rsidRPr="00132849">
        <w:rPr>
          <w:b/>
        </w:rPr>
        <w:t xml:space="preserve"> </w:t>
      </w:r>
      <w:r>
        <w:rPr>
          <w:b/>
        </w:rPr>
        <w:t xml:space="preserve">juin 2019 </w:t>
      </w:r>
      <w:r>
        <w:t xml:space="preserve">contient notamment des mesures d’interdiction de certains produits plastique, de réduction à la mise sur le marché de certains emballages composé de plastique ainsi que des objectifs de collecte et de recyclage et d’éco-conception (bouchon solidaire, incorporation de matières premières recyclées). </w:t>
      </w:r>
    </w:p>
    <w:p w14:paraId="4EF44C17" w14:textId="77777777" w:rsidR="00C1220B" w:rsidRDefault="00C1220B" w:rsidP="00C1220B">
      <w:pPr>
        <w:pStyle w:val="Sansinterligne"/>
        <w:jc w:val="both"/>
      </w:pPr>
    </w:p>
    <w:p w14:paraId="0D17F6E2" w14:textId="77777777" w:rsidR="00C1220B" w:rsidRPr="00246D36" w:rsidRDefault="00C1220B" w:rsidP="00C1220B">
      <w:pPr>
        <w:pStyle w:val="Sansinterligne"/>
        <w:numPr>
          <w:ilvl w:val="0"/>
          <w:numId w:val="2"/>
        </w:numPr>
        <w:jc w:val="both"/>
        <w:rPr>
          <w:b/>
          <w:bCs/>
        </w:rPr>
      </w:pPr>
      <w:r w:rsidRPr="00D213D8">
        <w:rPr>
          <w:b/>
          <w:bCs/>
        </w:rPr>
        <w:t xml:space="preserve">La directive 94/62/CE du Parlement européen et du conseil relative aux emballages et aux déchets d’emballages </w:t>
      </w:r>
      <w:r>
        <w:rPr>
          <w:b/>
          <w:bCs/>
        </w:rPr>
        <w:t xml:space="preserve">du 20 décembre 1994 et modifiée le 4 juillet 2018 </w:t>
      </w:r>
      <w:r>
        <w:t>précise ce qu’est un emballage et son article 18 prévoit un principe de liberté de mise sur le marché des emballages conformes à cette directive.</w:t>
      </w:r>
    </w:p>
    <w:p w14:paraId="6B66FE7C" w14:textId="77777777" w:rsidR="00C1220B" w:rsidRDefault="00C1220B" w:rsidP="00C1220B">
      <w:pPr>
        <w:pStyle w:val="Sansinterligne"/>
        <w:jc w:val="both"/>
      </w:pPr>
    </w:p>
    <w:p w14:paraId="693DD8B3" w14:textId="77777777" w:rsidR="00C1220B" w:rsidRDefault="00C1220B" w:rsidP="00C1220B">
      <w:pPr>
        <w:pStyle w:val="Sansinterligne"/>
        <w:numPr>
          <w:ilvl w:val="0"/>
          <w:numId w:val="2"/>
        </w:numPr>
        <w:jc w:val="both"/>
      </w:pPr>
      <w:r w:rsidRPr="00CB445E">
        <w:rPr>
          <w:b/>
          <w:bCs/>
        </w:rPr>
        <w:t>L’article 28 de la loi n°2018-938 pour l’équilibre des relations commerciales dans le secteur agricole et une alimentation saine, durable et accessible à tous (EGAlim) du 30 octobre 2018</w:t>
      </w:r>
      <w:r>
        <w:t xml:space="preserve"> interdit de nouveaux produits en plastique à usage unique, en modifiant le III de l’article L. 541-10-5 du code de l’environnement créé par la loi LTECV (</w:t>
      </w:r>
      <w:r w:rsidRPr="00026A97">
        <w:t xml:space="preserve">loi </w:t>
      </w:r>
      <w:r>
        <w:t xml:space="preserve">n°2015-992 du </w:t>
      </w:r>
      <w:r w:rsidRPr="00026A97">
        <w:t>1</w:t>
      </w:r>
      <w:r>
        <w:t>7</w:t>
      </w:r>
      <w:r w:rsidRPr="00026A97">
        <w:t xml:space="preserve"> août 2015</w:t>
      </w:r>
      <w:r>
        <w:t xml:space="preserve"> </w:t>
      </w:r>
      <w:r w:rsidRPr="00026A97">
        <w:t>relative à la transition énergétiq</w:t>
      </w:r>
      <w:r>
        <w:t xml:space="preserve">ue pour la croissance verte). </w:t>
      </w:r>
    </w:p>
    <w:p w14:paraId="04AF3C66" w14:textId="77777777" w:rsidR="00C1220B" w:rsidRDefault="00C1220B" w:rsidP="00C1220B">
      <w:pPr>
        <w:pStyle w:val="Sansinterligne"/>
        <w:jc w:val="both"/>
      </w:pPr>
    </w:p>
    <w:p w14:paraId="51ACC1B6" w14:textId="77777777" w:rsidR="00C1220B" w:rsidRPr="00246D36" w:rsidRDefault="00C1220B" w:rsidP="00C1220B">
      <w:pPr>
        <w:pStyle w:val="Sansinterligne"/>
        <w:numPr>
          <w:ilvl w:val="0"/>
          <w:numId w:val="2"/>
        </w:numPr>
        <w:jc w:val="both"/>
        <w:rPr>
          <w:b/>
          <w:bCs/>
          <w:i/>
        </w:rPr>
      </w:pPr>
      <w:r w:rsidRPr="00ED74E9">
        <w:rPr>
          <w:b/>
          <w:bCs/>
        </w:rPr>
        <w:t>Le III de l’article L</w:t>
      </w:r>
      <w:r>
        <w:rPr>
          <w:b/>
          <w:bCs/>
        </w:rPr>
        <w:t xml:space="preserve">. </w:t>
      </w:r>
      <w:r w:rsidRPr="00ED74E9">
        <w:rPr>
          <w:b/>
          <w:bCs/>
        </w:rPr>
        <w:t>541-10-5 du code de l’environnement</w:t>
      </w:r>
      <w:r>
        <w:rPr>
          <w:b/>
          <w:bCs/>
          <w:i/>
        </w:rPr>
        <w:t xml:space="preserve"> </w:t>
      </w:r>
      <w:r w:rsidRPr="00246D36">
        <w:rPr>
          <w:iCs/>
        </w:rPr>
        <w:t>relatif à la prévention et à la gestion des déchets.</w:t>
      </w:r>
    </w:p>
    <w:p w14:paraId="6B9046D8" w14:textId="77777777" w:rsidR="00C1220B" w:rsidRDefault="00C1220B" w:rsidP="00C1220B">
      <w:pPr>
        <w:pStyle w:val="Sansinterligne"/>
        <w:jc w:val="both"/>
        <w:rPr>
          <w:iCs/>
        </w:rPr>
      </w:pPr>
    </w:p>
    <w:p w14:paraId="18FAC39C" w14:textId="77777777" w:rsidR="00C1220B" w:rsidRPr="00246D36" w:rsidRDefault="00C1220B" w:rsidP="00C1220B">
      <w:pPr>
        <w:pStyle w:val="Sansinterligne"/>
        <w:numPr>
          <w:ilvl w:val="0"/>
          <w:numId w:val="2"/>
        </w:numPr>
        <w:jc w:val="both"/>
        <w:rPr>
          <w:b/>
          <w:bCs/>
          <w:iCs/>
        </w:rPr>
      </w:pPr>
      <w:r w:rsidRPr="00D213D8">
        <w:rPr>
          <w:b/>
          <w:bCs/>
          <w:iCs/>
        </w:rPr>
        <w:t>Les articles D</w:t>
      </w:r>
      <w:r>
        <w:rPr>
          <w:b/>
          <w:bCs/>
          <w:iCs/>
        </w:rPr>
        <w:t xml:space="preserve">. </w:t>
      </w:r>
      <w:r w:rsidRPr="00D213D8">
        <w:rPr>
          <w:b/>
          <w:bCs/>
          <w:iCs/>
        </w:rPr>
        <w:t>543-294, D</w:t>
      </w:r>
      <w:r>
        <w:rPr>
          <w:b/>
          <w:bCs/>
          <w:iCs/>
        </w:rPr>
        <w:t xml:space="preserve">. </w:t>
      </w:r>
      <w:r w:rsidRPr="00D213D8">
        <w:rPr>
          <w:b/>
          <w:bCs/>
          <w:iCs/>
        </w:rPr>
        <w:t xml:space="preserve">543-295 </w:t>
      </w:r>
      <w:r>
        <w:rPr>
          <w:b/>
          <w:bCs/>
          <w:iCs/>
        </w:rPr>
        <w:t>et</w:t>
      </w:r>
      <w:r w:rsidRPr="00D213D8">
        <w:rPr>
          <w:b/>
          <w:bCs/>
          <w:iCs/>
        </w:rPr>
        <w:t xml:space="preserve"> D</w:t>
      </w:r>
      <w:r>
        <w:rPr>
          <w:b/>
          <w:bCs/>
          <w:iCs/>
        </w:rPr>
        <w:t xml:space="preserve">. </w:t>
      </w:r>
      <w:r w:rsidRPr="00D213D8">
        <w:rPr>
          <w:b/>
          <w:bCs/>
          <w:iCs/>
        </w:rPr>
        <w:t>543-296 du code de l’environnement</w:t>
      </w:r>
      <w:r>
        <w:rPr>
          <w:b/>
          <w:bCs/>
          <w:iCs/>
        </w:rPr>
        <w:t xml:space="preserve"> </w:t>
      </w:r>
      <w:r w:rsidRPr="00246D36">
        <w:rPr>
          <w:iCs/>
        </w:rPr>
        <w:t>relatifs à la mise en application des interdictions prévues par l’article III de l’article L. 541-1</w:t>
      </w:r>
      <w:r>
        <w:rPr>
          <w:iCs/>
        </w:rPr>
        <w:t xml:space="preserve">0-5 du code de l’environnement (dispositions du décret du 31 mai 2016). </w:t>
      </w:r>
    </w:p>
    <w:p w14:paraId="672EE3F4" w14:textId="77777777" w:rsidR="00C1220B" w:rsidRDefault="00C1220B" w:rsidP="00C1220B">
      <w:pPr>
        <w:pStyle w:val="Sansinterligne"/>
        <w:jc w:val="both"/>
      </w:pPr>
    </w:p>
    <w:p w14:paraId="0CEBEEE5" w14:textId="77777777" w:rsidR="00C1220B" w:rsidRPr="00FF541A" w:rsidRDefault="00C1220B" w:rsidP="00C1220B">
      <w:pPr>
        <w:pStyle w:val="Sansinterligne"/>
        <w:numPr>
          <w:ilvl w:val="0"/>
          <w:numId w:val="2"/>
        </w:numPr>
        <w:jc w:val="both"/>
        <w:rPr>
          <w:b/>
        </w:rPr>
      </w:pPr>
      <w:r w:rsidRPr="0097627C">
        <w:rPr>
          <w:b/>
        </w:rPr>
        <w:t>Le décret n° XX notifi</w:t>
      </w:r>
      <w:r>
        <w:rPr>
          <w:b/>
        </w:rPr>
        <w:t xml:space="preserve">é le 19 juillet auprès de la Commission européenne et relatif à l’interdiction de certains produits en plastique à usage unique </w:t>
      </w:r>
      <w:r w:rsidRPr="00246D36">
        <w:rPr>
          <w:iCs/>
        </w:rPr>
        <w:t xml:space="preserve">précise notamment les définitions des matériaux, produits et acteurs concernés et établit le calendrier détaillé de l’entrée en vigueur des interdictions de </w:t>
      </w:r>
      <w:r w:rsidRPr="00246D36">
        <w:rPr>
          <w:bCs/>
        </w:rPr>
        <w:t xml:space="preserve">certains produits en plastique à usage unique. Il modifie </w:t>
      </w:r>
      <w:r w:rsidRPr="00246D36">
        <w:rPr>
          <w:iCs/>
        </w:rPr>
        <w:t xml:space="preserve">les dispositions réglementaires existantes du code de l’environnement. </w:t>
      </w:r>
    </w:p>
    <w:p w14:paraId="52388635" w14:textId="77777777" w:rsidR="00C1220B" w:rsidRPr="00FF541A" w:rsidRDefault="00C1220B" w:rsidP="00C1220B">
      <w:pPr>
        <w:pStyle w:val="Sansinterligne"/>
        <w:jc w:val="both"/>
        <w:rPr>
          <w:b/>
        </w:rPr>
      </w:pPr>
    </w:p>
    <w:p w14:paraId="5D816FE0" w14:textId="6B70497E" w:rsidR="00C1220B" w:rsidRDefault="00C1220B" w:rsidP="00C1220B">
      <w:pPr>
        <w:pStyle w:val="Sansinterligne"/>
        <w:ind w:left="360"/>
        <w:jc w:val="both"/>
        <w:rPr>
          <w:iCs/>
        </w:rPr>
      </w:pPr>
      <w:r w:rsidRPr="00246D36">
        <w:rPr>
          <w:iCs/>
        </w:rPr>
        <w:t>Un arrêté sera également rédigé (fin 2019 ?) pour déterminer le pourcentage de plastique maximal autorisé dans les gobelets et verre</w:t>
      </w:r>
      <w:r w:rsidR="00E66D1F">
        <w:rPr>
          <w:iCs/>
        </w:rPr>
        <w:t>s</w:t>
      </w:r>
      <w:r w:rsidRPr="00246D36">
        <w:rPr>
          <w:iCs/>
        </w:rPr>
        <w:t xml:space="preserve"> en plastique et fixer la trajectoire de réduction de cette teneur.</w:t>
      </w:r>
    </w:p>
    <w:p w14:paraId="49ADCF4C" w14:textId="77777777" w:rsidR="009656DC" w:rsidRDefault="009656DC" w:rsidP="00C1220B">
      <w:pPr>
        <w:pStyle w:val="Sansinterligne"/>
        <w:ind w:left="360"/>
        <w:jc w:val="both"/>
        <w:rPr>
          <w:iCs/>
        </w:rPr>
      </w:pPr>
    </w:p>
    <w:p w14:paraId="2BF6782B" w14:textId="77777777" w:rsidR="00C1220B" w:rsidRPr="00246D36" w:rsidRDefault="00C1220B" w:rsidP="00C1220B">
      <w:pPr>
        <w:pStyle w:val="Sansinterligne"/>
        <w:jc w:val="both"/>
        <w:rPr>
          <w:b/>
        </w:rPr>
      </w:pPr>
    </w:p>
    <w:p w14:paraId="296CD021" w14:textId="77777777" w:rsidR="00C1220B" w:rsidRDefault="00C1220B" w:rsidP="00C1220B">
      <w:pPr>
        <w:pStyle w:val="Sansinterligne"/>
        <w:numPr>
          <w:ilvl w:val="0"/>
          <w:numId w:val="3"/>
        </w:numPr>
        <w:jc w:val="both"/>
        <w:rPr>
          <w:rFonts w:cstheme="minorHAnsi"/>
          <w:b/>
        </w:rPr>
      </w:pPr>
      <w:r w:rsidRPr="0097627C">
        <w:rPr>
          <w:rFonts w:cstheme="minorHAnsi"/>
          <w:b/>
        </w:rPr>
        <w:t xml:space="preserve">PANORAMA DES DATES D’INTERDICTIONS PAR CATEGORIE DE PRODUITS </w:t>
      </w:r>
    </w:p>
    <w:p w14:paraId="4E7958E8" w14:textId="77777777" w:rsidR="00C1220B" w:rsidRDefault="00C1220B" w:rsidP="00C1220B">
      <w:pPr>
        <w:pStyle w:val="Sansinterligne"/>
        <w:jc w:val="both"/>
        <w:rPr>
          <w:rFonts w:cstheme="minorHAnsi"/>
          <w:b/>
        </w:rPr>
      </w:pPr>
    </w:p>
    <w:p w14:paraId="20548ABC" w14:textId="77777777" w:rsidR="00C1220B" w:rsidRDefault="00C1220B" w:rsidP="00C1220B">
      <w:pPr>
        <w:pStyle w:val="Sansinterligne"/>
        <w:jc w:val="both"/>
        <w:rPr>
          <w:rFonts w:cstheme="minorHAnsi"/>
          <w:bCs/>
        </w:rPr>
      </w:pPr>
      <w:r>
        <w:rPr>
          <w:rFonts w:cstheme="minorHAnsi"/>
          <w:bCs/>
        </w:rPr>
        <w:t xml:space="preserve">Le décret d’application prévoit l’entrée en vigueur des mesures d’interdiction à deux dates différentes, en fonction de critères précis. </w:t>
      </w:r>
    </w:p>
    <w:p w14:paraId="665B0897" w14:textId="77777777" w:rsidR="00C1220B" w:rsidRDefault="00C1220B" w:rsidP="00C1220B">
      <w:pPr>
        <w:pStyle w:val="Sansinterligne"/>
        <w:jc w:val="both"/>
        <w:rPr>
          <w:rFonts w:cstheme="minorHAnsi"/>
          <w:b/>
        </w:rPr>
      </w:pPr>
    </w:p>
    <w:p w14:paraId="4D656ED5" w14:textId="77777777" w:rsidR="00C1220B" w:rsidRDefault="00C1220B" w:rsidP="00C1220B">
      <w:pPr>
        <w:pStyle w:val="Sansinterligne"/>
        <w:ind w:left="708" w:firstLine="708"/>
        <w:jc w:val="both"/>
        <w:rPr>
          <w:rFonts w:cstheme="minorHAnsi"/>
          <w:b/>
        </w:rPr>
      </w:pPr>
      <w:r>
        <w:rPr>
          <w:rFonts w:cstheme="minorHAnsi"/>
          <w:b/>
        </w:rPr>
        <w:t>A – Au 1</w:t>
      </w:r>
      <w:r w:rsidRPr="0097627C">
        <w:rPr>
          <w:rFonts w:cstheme="minorHAnsi"/>
          <w:b/>
          <w:vertAlign w:val="superscript"/>
        </w:rPr>
        <w:t>er</w:t>
      </w:r>
      <w:r>
        <w:rPr>
          <w:rFonts w:cstheme="minorHAnsi"/>
          <w:b/>
        </w:rPr>
        <w:t xml:space="preserve"> janvier 2020</w:t>
      </w:r>
    </w:p>
    <w:p w14:paraId="4759C363" w14:textId="77777777" w:rsidR="00C1220B" w:rsidRDefault="00C1220B" w:rsidP="00C1220B">
      <w:pPr>
        <w:pStyle w:val="Sansinterligne"/>
        <w:jc w:val="both"/>
        <w:rPr>
          <w:rFonts w:cstheme="minorHAnsi"/>
          <w:b/>
        </w:rPr>
      </w:pPr>
    </w:p>
    <w:p w14:paraId="59A976EB" w14:textId="7B5E193E" w:rsidR="00C1220B" w:rsidRPr="00FF541A" w:rsidRDefault="00C1220B" w:rsidP="00C1220B">
      <w:pPr>
        <w:pStyle w:val="Sansinterligne"/>
        <w:jc w:val="both"/>
        <w:rPr>
          <w:rFonts w:cstheme="minorHAnsi"/>
          <w:bCs/>
        </w:rPr>
      </w:pPr>
      <w:r w:rsidRPr="00FF541A">
        <w:rPr>
          <w:rFonts w:cstheme="minorHAnsi"/>
          <w:bCs/>
        </w:rPr>
        <w:t xml:space="preserve">Les </w:t>
      </w:r>
      <w:r w:rsidRPr="00FF541A">
        <w:rPr>
          <w:rFonts w:cstheme="minorHAnsi"/>
          <w:b/>
        </w:rPr>
        <w:t>emballages</w:t>
      </w:r>
      <w:r w:rsidRPr="00FF541A">
        <w:rPr>
          <w:rFonts w:cstheme="minorHAnsi"/>
          <w:bCs/>
        </w:rPr>
        <w:t xml:space="preserve">, au sens de la directive 94/62/CE, </w:t>
      </w:r>
      <w:r w:rsidRPr="00FF541A">
        <w:rPr>
          <w:rFonts w:cstheme="minorHAnsi"/>
        </w:rPr>
        <w:t xml:space="preserve">ne </w:t>
      </w:r>
      <w:r w:rsidRPr="00FF541A">
        <w:rPr>
          <w:rFonts w:cstheme="minorHAnsi"/>
          <w:b/>
        </w:rPr>
        <w:t>sont pas concernés par les interdictions du 1</w:t>
      </w:r>
      <w:r w:rsidRPr="00FF541A">
        <w:rPr>
          <w:rFonts w:cstheme="minorHAnsi"/>
          <w:b/>
          <w:vertAlign w:val="superscript"/>
        </w:rPr>
        <w:t>er</w:t>
      </w:r>
      <w:r w:rsidRPr="00FF541A">
        <w:rPr>
          <w:rFonts w:cstheme="minorHAnsi"/>
          <w:b/>
        </w:rPr>
        <w:t xml:space="preserve"> janvier 2020</w:t>
      </w:r>
      <w:r w:rsidRPr="00FF541A">
        <w:rPr>
          <w:rFonts w:cstheme="minorHAnsi"/>
        </w:rPr>
        <w:t xml:space="preserve">. </w:t>
      </w:r>
    </w:p>
    <w:p w14:paraId="5543F9ED" w14:textId="77777777" w:rsidR="00C1220B" w:rsidRDefault="00C1220B" w:rsidP="00C1220B">
      <w:pPr>
        <w:pStyle w:val="Sansinterligne"/>
        <w:jc w:val="both"/>
        <w:rPr>
          <w:rFonts w:cstheme="minorHAnsi"/>
          <w:b/>
        </w:rPr>
      </w:pPr>
    </w:p>
    <w:tbl>
      <w:tblPr>
        <w:tblStyle w:val="TableauGrille4-Accentuation11"/>
        <w:tblW w:w="9214" w:type="dxa"/>
        <w:tblInd w:w="-5" w:type="dxa"/>
        <w:tblLook w:val="04A0" w:firstRow="1" w:lastRow="0" w:firstColumn="1" w:lastColumn="0" w:noHBand="0" w:noVBand="1"/>
      </w:tblPr>
      <w:tblGrid>
        <w:gridCol w:w="1560"/>
        <w:gridCol w:w="6169"/>
        <w:gridCol w:w="1485"/>
      </w:tblGrid>
      <w:tr w:rsidR="00C1220B" w14:paraId="57A1A18D" w14:textId="77777777" w:rsidTr="00291AB8">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1560" w:type="dxa"/>
          </w:tcPr>
          <w:p w14:paraId="2BD7C9CC" w14:textId="77777777" w:rsidR="00C1220B" w:rsidRPr="006F015D" w:rsidRDefault="00C1220B" w:rsidP="003D22A2">
            <w:pPr>
              <w:pStyle w:val="Sansinterligne"/>
              <w:jc w:val="center"/>
              <w:rPr>
                <w:rFonts w:cstheme="minorHAnsi"/>
                <w:b w:val="0"/>
              </w:rPr>
            </w:pPr>
            <w:r w:rsidRPr="00817819">
              <w:rPr>
                <w:rFonts w:cstheme="minorHAnsi"/>
                <w:bCs w:val="0"/>
              </w:rPr>
              <w:t>Produit concerné</w:t>
            </w:r>
          </w:p>
        </w:tc>
        <w:tc>
          <w:tcPr>
            <w:tcW w:w="6169" w:type="dxa"/>
          </w:tcPr>
          <w:p w14:paraId="106562A4" w14:textId="77777777" w:rsidR="00C1220B" w:rsidRPr="005006C3" w:rsidRDefault="00C1220B" w:rsidP="003D22A2">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5006C3">
              <w:rPr>
                <w:rFonts w:cstheme="minorHAnsi"/>
                <w:bCs w:val="0"/>
              </w:rPr>
              <w:t>Spécification</w:t>
            </w:r>
            <w:r>
              <w:rPr>
                <w:rFonts w:cstheme="minorHAnsi"/>
                <w:bCs w:val="0"/>
              </w:rPr>
              <w:t xml:space="preserve"> à compter du 1</w:t>
            </w:r>
            <w:r w:rsidRPr="008E6879">
              <w:rPr>
                <w:rFonts w:cstheme="minorHAnsi"/>
                <w:bCs w:val="0"/>
                <w:vertAlign w:val="superscript"/>
              </w:rPr>
              <w:t>er</w:t>
            </w:r>
            <w:r>
              <w:rPr>
                <w:rFonts w:cstheme="minorHAnsi"/>
                <w:bCs w:val="0"/>
              </w:rPr>
              <w:t xml:space="preserve"> janvier 2020</w:t>
            </w:r>
          </w:p>
        </w:tc>
        <w:tc>
          <w:tcPr>
            <w:tcW w:w="1485" w:type="dxa"/>
          </w:tcPr>
          <w:p w14:paraId="1C85E4A7" w14:textId="77777777" w:rsidR="00C1220B" w:rsidRPr="005006C3" w:rsidRDefault="00C1220B" w:rsidP="003D22A2">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Exemption compostables  domestique biosourcés*</w:t>
            </w:r>
          </w:p>
        </w:tc>
      </w:tr>
      <w:tr w:rsidR="00C1220B" w14:paraId="2F44227A" w14:textId="77777777" w:rsidTr="00291AB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560" w:type="dxa"/>
          </w:tcPr>
          <w:p w14:paraId="6EBF719E" w14:textId="77777777" w:rsidR="00C1220B" w:rsidRPr="00817819" w:rsidRDefault="00C1220B" w:rsidP="00622472">
            <w:pPr>
              <w:pStyle w:val="Sansinterligne"/>
              <w:rPr>
                <w:rFonts w:cstheme="minorHAnsi"/>
                <w:bCs w:val="0"/>
              </w:rPr>
            </w:pPr>
            <w:r w:rsidRPr="00817819">
              <w:rPr>
                <w:rFonts w:cstheme="minorHAnsi"/>
                <w:bCs w:val="0"/>
              </w:rPr>
              <w:t>Gobelets et verres</w:t>
            </w:r>
          </w:p>
        </w:tc>
        <w:tc>
          <w:tcPr>
            <w:tcW w:w="6169" w:type="dxa"/>
          </w:tcPr>
          <w:p w14:paraId="41769A9B" w14:textId="77777777" w:rsidR="00C1220B" w:rsidRPr="005006C3" w:rsidRDefault="00C1220B" w:rsidP="00142AC4">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sidRPr="00FF541A">
              <w:rPr>
                <w:rFonts w:cstheme="minorHAnsi"/>
                <w:b/>
                <w:bCs/>
              </w:rPr>
              <w:t>Interdiction</w:t>
            </w:r>
            <w:r>
              <w:rPr>
                <w:rFonts w:cstheme="minorHAnsi"/>
                <w:bCs/>
              </w:rPr>
              <w:t xml:space="preserve"> si composés de 100% plastique</w:t>
            </w:r>
            <w:r>
              <w:rPr>
                <w:rFonts w:cstheme="minorHAnsi"/>
                <w:b/>
              </w:rPr>
              <w:t xml:space="preserve"> et non emballages</w:t>
            </w:r>
            <w:r w:rsidR="0022232F">
              <w:rPr>
                <w:rFonts w:cstheme="minorHAnsi"/>
                <w:b/>
              </w:rPr>
              <w:t xml:space="preserve"> </w:t>
            </w:r>
          </w:p>
        </w:tc>
        <w:tc>
          <w:tcPr>
            <w:tcW w:w="1485" w:type="dxa"/>
          </w:tcPr>
          <w:p w14:paraId="7E160ED6" w14:textId="77777777" w:rsidR="00C1220B"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sym w:font="Wingdings" w:char="F0FC"/>
            </w:r>
          </w:p>
        </w:tc>
      </w:tr>
      <w:tr w:rsidR="00C1220B" w14:paraId="6D067FBC" w14:textId="77777777" w:rsidTr="00291AB8">
        <w:trPr>
          <w:trHeight w:val="1066"/>
        </w:trPr>
        <w:tc>
          <w:tcPr>
            <w:cnfStyle w:val="001000000000" w:firstRow="0" w:lastRow="0" w:firstColumn="1" w:lastColumn="0" w:oddVBand="0" w:evenVBand="0" w:oddHBand="0" w:evenHBand="0" w:firstRowFirstColumn="0" w:firstRowLastColumn="0" w:lastRowFirstColumn="0" w:lastRowLastColumn="0"/>
            <w:tcW w:w="1560" w:type="dxa"/>
          </w:tcPr>
          <w:p w14:paraId="63EB6A2D" w14:textId="77777777" w:rsidR="00C1220B" w:rsidRPr="00817819" w:rsidRDefault="00C1220B" w:rsidP="00622472">
            <w:pPr>
              <w:pStyle w:val="Sansinterligne"/>
              <w:rPr>
                <w:rFonts w:cstheme="minorHAnsi"/>
                <w:bCs w:val="0"/>
              </w:rPr>
            </w:pPr>
            <w:r w:rsidRPr="00817819">
              <w:rPr>
                <w:rFonts w:cstheme="minorHAnsi"/>
                <w:bCs w:val="0"/>
              </w:rPr>
              <w:t>Assiettes jetables de cuisine pour la table</w:t>
            </w:r>
          </w:p>
        </w:tc>
        <w:tc>
          <w:tcPr>
            <w:tcW w:w="6169" w:type="dxa"/>
          </w:tcPr>
          <w:p w14:paraId="5955219A" w14:textId="77777777" w:rsidR="00C1220B" w:rsidRPr="005006C3"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Cs/>
              </w:rPr>
            </w:pPr>
            <w:r w:rsidRPr="00FF541A">
              <w:rPr>
                <w:rFonts w:cstheme="minorHAnsi"/>
                <w:b/>
                <w:bCs/>
              </w:rPr>
              <w:t>Interdiction</w:t>
            </w:r>
            <w:r>
              <w:rPr>
                <w:rFonts w:cstheme="minorHAnsi"/>
                <w:bCs/>
              </w:rPr>
              <w:t xml:space="preserve"> si composées de 100% plastique et </w:t>
            </w:r>
            <w:r>
              <w:rPr>
                <w:rFonts w:cstheme="minorHAnsi"/>
                <w:b/>
              </w:rPr>
              <w:t>non emballages</w:t>
            </w:r>
            <w:r w:rsidR="00142AC4">
              <w:rPr>
                <w:rFonts w:cstheme="minorHAnsi"/>
                <w:b/>
              </w:rPr>
              <w:t xml:space="preserve"> </w:t>
            </w:r>
            <w:r w:rsidR="00142AC4">
              <w:rPr>
                <w:rFonts w:cstheme="minorHAnsi"/>
                <w:i/>
              </w:rPr>
              <w:t>(ces produits</w:t>
            </w:r>
            <w:r w:rsidR="00142AC4" w:rsidRPr="0022232F">
              <w:rPr>
                <w:rFonts w:cstheme="minorHAnsi"/>
                <w:i/>
              </w:rPr>
              <w:t xml:space="preserve"> peuvent </w:t>
            </w:r>
            <w:r w:rsidR="00142AC4">
              <w:rPr>
                <w:rFonts w:cstheme="minorHAnsi"/>
                <w:i/>
              </w:rPr>
              <w:t xml:space="preserve">être vendus en BtoB si il sont utilisés comme emballage - </w:t>
            </w:r>
            <w:r w:rsidR="00142AC4" w:rsidRPr="00142AC4">
              <w:rPr>
                <w:rFonts w:cstheme="minorHAnsi"/>
                <w:i/>
              </w:rPr>
              <w:t>remplis ou conçus pour être remplis (d’aliments ou de boissons) au point de vente</w:t>
            </w:r>
            <w:r w:rsidR="00142AC4">
              <w:rPr>
                <w:rFonts w:cstheme="minorHAnsi"/>
                <w:i/>
              </w:rPr>
              <w:t>-).</w:t>
            </w:r>
          </w:p>
        </w:tc>
        <w:tc>
          <w:tcPr>
            <w:tcW w:w="1485" w:type="dxa"/>
          </w:tcPr>
          <w:p w14:paraId="31F7084F" w14:textId="77777777" w:rsidR="00C1220B"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sym w:font="Wingdings" w:char="F0FC"/>
            </w:r>
          </w:p>
        </w:tc>
      </w:tr>
      <w:tr w:rsidR="00C1220B" w14:paraId="6CA6501D" w14:textId="77777777" w:rsidTr="00291AB8">
        <w:trPr>
          <w:cnfStyle w:val="000000100000" w:firstRow="0" w:lastRow="0" w:firstColumn="0" w:lastColumn="0" w:oddVBand="0" w:evenVBand="0" w:oddHBand="1" w:evenHBand="0" w:firstRowFirstColumn="0" w:firstRowLastColumn="0" w:lastRowFirstColumn="0" w:lastRowLastColumn="0"/>
          <w:trHeight w:val="1076"/>
        </w:trPr>
        <w:tc>
          <w:tcPr>
            <w:cnfStyle w:val="001000000000" w:firstRow="0" w:lastRow="0" w:firstColumn="1" w:lastColumn="0" w:oddVBand="0" w:evenVBand="0" w:oddHBand="0" w:evenHBand="0" w:firstRowFirstColumn="0" w:firstRowLastColumn="0" w:lastRowFirstColumn="0" w:lastRowLastColumn="0"/>
            <w:tcW w:w="1560" w:type="dxa"/>
          </w:tcPr>
          <w:p w14:paraId="2D5F429D" w14:textId="77777777" w:rsidR="00C1220B" w:rsidRPr="00817819" w:rsidRDefault="00C1220B" w:rsidP="00622472">
            <w:pPr>
              <w:pStyle w:val="Sansinterligne"/>
              <w:rPr>
                <w:rFonts w:cstheme="minorHAnsi"/>
                <w:bCs w:val="0"/>
              </w:rPr>
            </w:pPr>
            <w:r w:rsidRPr="00817819">
              <w:rPr>
                <w:rFonts w:cstheme="minorHAnsi"/>
                <w:bCs w:val="0"/>
              </w:rPr>
              <w:t>Pailles</w:t>
            </w:r>
          </w:p>
        </w:tc>
        <w:tc>
          <w:tcPr>
            <w:tcW w:w="6169" w:type="dxa"/>
          </w:tcPr>
          <w:p w14:paraId="3A8B497E" w14:textId="69CE9B8A"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
              </w:rPr>
              <w:t>Interdiction pour celles</w:t>
            </w:r>
            <w:r w:rsidR="0049746B">
              <w:rPr>
                <w:rFonts w:cstheme="minorHAnsi"/>
                <w:b/>
              </w:rPr>
              <w:t xml:space="preserve"> entièrement ou partiellement composées de plastique et</w:t>
            </w:r>
            <w:r>
              <w:rPr>
                <w:rFonts w:cstheme="minorHAnsi"/>
                <w:b/>
              </w:rPr>
              <w:t xml:space="preserve"> m</w:t>
            </w:r>
            <w:r w:rsidRPr="00817819">
              <w:rPr>
                <w:rFonts w:cstheme="minorHAnsi"/>
                <w:b/>
              </w:rPr>
              <w:t>ises à disposition sur le lieu d’utilisation ou celles vendues à l’unité ou en lot</w:t>
            </w:r>
            <w:r>
              <w:rPr>
                <w:rFonts w:cstheme="minorHAnsi"/>
                <w:bCs/>
              </w:rPr>
              <w:t xml:space="preserve"> (hors briquette) au consommateur final à l’exception des usages médicaux </w:t>
            </w:r>
          </w:p>
        </w:tc>
        <w:tc>
          <w:tcPr>
            <w:tcW w:w="1485" w:type="dxa"/>
          </w:tcPr>
          <w:p w14:paraId="0C8F330E" w14:textId="77777777" w:rsidR="00C1220B" w:rsidRPr="00817819"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Cs/>
              </w:rPr>
              <w:sym w:font="Wingdings" w:char="F0FC"/>
            </w:r>
          </w:p>
        </w:tc>
      </w:tr>
      <w:tr w:rsidR="00C1220B" w14:paraId="48D6C449" w14:textId="77777777" w:rsidTr="00291AB8">
        <w:trPr>
          <w:trHeight w:val="1066"/>
        </w:trPr>
        <w:tc>
          <w:tcPr>
            <w:cnfStyle w:val="001000000000" w:firstRow="0" w:lastRow="0" w:firstColumn="1" w:lastColumn="0" w:oddVBand="0" w:evenVBand="0" w:oddHBand="0" w:evenHBand="0" w:firstRowFirstColumn="0" w:firstRowLastColumn="0" w:lastRowFirstColumn="0" w:lastRowLastColumn="0"/>
            <w:tcW w:w="1560" w:type="dxa"/>
          </w:tcPr>
          <w:p w14:paraId="435C52EF" w14:textId="77777777" w:rsidR="00C1220B" w:rsidRPr="00817819" w:rsidRDefault="00C1220B" w:rsidP="00622472">
            <w:pPr>
              <w:pStyle w:val="Sansinterligne"/>
              <w:rPr>
                <w:rFonts w:cstheme="minorHAnsi"/>
                <w:bCs w:val="0"/>
              </w:rPr>
            </w:pPr>
            <w:r w:rsidRPr="00817819">
              <w:rPr>
                <w:rFonts w:cstheme="minorHAnsi"/>
                <w:bCs w:val="0"/>
              </w:rPr>
              <w:t xml:space="preserve">Couverts </w:t>
            </w:r>
          </w:p>
        </w:tc>
        <w:tc>
          <w:tcPr>
            <w:tcW w:w="6169" w:type="dxa"/>
          </w:tcPr>
          <w:p w14:paraId="47E671F7" w14:textId="6C956355" w:rsidR="00C1220B" w:rsidRPr="005006C3"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
              </w:rPr>
              <w:t>Interdiction des fourchettes, couteaux, cuillères et baguettes</w:t>
            </w:r>
            <w:r w:rsidR="0049746B">
              <w:rPr>
                <w:rFonts w:cstheme="minorHAnsi"/>
                <w:b/>
              </w:rPr>
              <w:t xml:space="preserve"> entièrement ou partiellement composées de plastique</w:t>
            </w:r>
            <w:r w:rsidR="00622472">
              <w:rPr>
                <w:rFonts w:cstheme="minorHAnsi"/>
                <w:b/>
              </w:rPr>
              <w:t>, y compris ceux intégrés dans des produits, mais</w:t>
            </w:r>
            <w:r>
              <w:rPr>
                <w:rFonts w:cstheme="minorHAnsi"/>
                <w:b/>
              </w:rPr>
              <w:t xml:space="preserve"> à</w:t>
            </w:r>
            <w:r>
              <w:rPr>
                <w:rFonts w:cstheme="minorHAnsi"/>
                <w:bCs/>
              </w:rPr>
              <w:t xml:space="preserve"> </w:t>
            </w:r>
            <w:r w:rsidRPr="00817819">
              <w:rPr>
                <w:rFonts w:cstheme="minorHAnsi"/>
                <w:b/>
              </w:rPr>
              <w:t>l’exception</w:t>
            </w:r>
            <w:r>
              <w:rPr>
                <w:rFonts w:cstheme="minorHAnsi"/>
                <w:bCs/>
              </w:rPr>
              <w:t xml:space="preserve"> de ceux utilisés dans les établissements </w:t>
            </w:r>
            <w:r w:rsidRPr="00FF541A">
              <w:rPr>
                <w:rFonts w:cstheme="minorHAnsi"/>
                <w:bCs/>
              </w:rPr>
              <w:t>pénitentiaires</w:t>
            </w:r>
            <w:r>
              <w:rPr>
                <w:rFonts w:cstheme="minorHAnsi"/>
                <w:bCs/>
              </w:rPr>
              <w:t xml:space="preserve">, les établissements de </w:t>
            </w:r>
            <w:r w:rsidRPr="00FF541A">
              <w:rPr>
                <w:rFonts w:cstheme="minorHAnsi"/>
                <w:bCs/>
              </w:rPr>
              <w:t>santé</w:t>
            </w:r>
            <w:r>
              <w:rPr>
                <w:rFonts w:cstheme="minorHAnsi"/>
                <w:bCs/>
              </w:rPr>
              <w:t xml:space="preserve"> et dans le </w:t>
            </w:r>
            <w:r w:rsidRPr="00FF541A">
              <w:rPr>
                <w:rFonts w:cstheme="minorHAnsi"/>
                <w:bCs/>
              </w:rPr>
              <w:t>transport aérien, ferroviaire et maritime</w:t>
            </w:r>
            <w:r w:rsidR="00622472">
              <w:rPr>
                <w:rFonts w:cstheme="minorHAnsi"/>
                <w:bCs/>
              </w:rPr>
              <w:t>.</w:t>
            </w:r>
          </w:p>
        </w:tc>
        <w:tc>
          <w:tcPr>
            <w:tcW w:w="1485" w:type="dxa"/>
          </w:tcPr>
          <w:p w14:paraId="6EAEF415" w14:textId="77777777" w:rsidR="00C1220B"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sym w:font="Wingdings" w:char="F0FC"/>
            </w:r>
          </w:p>
        </w:tc>
      </w:tr>
      <w:tr w:rsidR="00C1220B" w14:paraId="38D1D791" w14:textId="77777777" w:rsidTr="00291AB8">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60" w:type="dxa"/>
          </w:tcPr>
          <w:p w14:paraId="72350BB1" w14:textId="77777777" w:rsidR="00C1220B" w:rsidRPr="00817819" w:rsidRDefault="00C1220B" w:rsidP="00622472">
            <w:pPr>
              <w:pStyle w:val="Sansinterligne"/>
              <w:rPr>
                <w:rFonts w:cstheme="minorHAnsi"/>
                <w:bCs w:val="0"/>
              </w:rPr>
            </w:pPr>
            <w:r w:rsidRPr="00817819">
              <w:rPr>
                <w:rFonts w:cstheme="minorHAnsi"/>
                <w:bCs w:val="0"/>
              </w:rPr>
              <w:t>Piques à steak</w:t>
            </w:r>
          </w:p>
        </w:tc>
        <w:tc>
          <w:tcPr>
            <w:tcW w:w="6169" w:type="dxa"/>
          </w:tcPr>
          <w:p w14:paraId="780E8A12" w14:textId="77777777" w:rsidR="00C1220B" w:rsidRPr="00C667DE"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
              </w:rPr>
            </w:pPr>
            <w:r w:rsidRPr="00C667DE">
              <w:rPr>
                <w:rFonts w:cstheme="minorHAnsi"/>
                <w:b/>
              </w:rPr>
              <w:t>Interdiction</w:t>
            </w:r>
          </w:p>
        </w:tc>
        <w:tc>
          <w:tcPr>
            <w:tcW w:w="1485" w:type="dxa"/>
          </w:tcPr>
          <w:p w14:paraId="60D3CFA5" w14:textId="77777777" w:rsidR="00C1220B" w:rsidRPr="00D83B85"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highlight w:val="yellow"/>
              </w:rPr>
            </w:pPr>
            <w:r>
              <w:rPr>
                <w:rFonts w:cstheme="minorHAnsi"/>
                <w:bCs/>
              </w:rPr>
              <w:sym w:font="Wingdings" w:char="F0FC"/>
            </w:r>
          </w:p>
        </w:tc>
      </w:tr>
      <w:tr w:rsidR="00C1220B" w14:paraId="344E82A3" w14:textId="77777777" w:rsidTr="00291AB8">
        <w:trPr>
          <w:trHeight w:val="1335"/>
        </w:trPr>
        <w:tc>
          <w:tcPr>
            <w:cnfStyle w:val="001000000000" w:firstRow="0" w:lastRow="0" w:firstColumn="1" w:lastColumn="0" w:oddVBand="0" w:evenVBand="0" w:oddHBand="0" w:evenHBand="0" w:firstRowFirstColumn="0" w:firstRowLastColumn="0" w:lastRowFirstColumn="0" w:lastRowLastColumn="0"/>
            <w:tcW w:w="1560" w:type="dxa"/>
          </w:tcPr>
          <w:p w14:paraId="65479B5B" w14:textId="77777777" w:rsidR="00C1220B" w:rsidRPr="00817819" w:rsidRDefault="00C1220B" w:rsidP="00622472">
            <w:pPr>
              <w:pStyle w:val="Sansinterligne"/>
              <w:rPr>
                <w:rFonts w:cstheme="minorHAnsi"/>
                <w:bCs w:val="0"/>
              </w:rPr>
            </w:pPr>
            <w:r w:rsidRPr="00817819">
              <w:rPr>
                <w:rFonts w:cstheme="minorHAnsi"/>
                <w:bCs w:val="0"/>
              </w:rPr>
              <w:t>Couvercles à verre jetables</w:t>
            </w:r>
            <w:r>
              <w:rPr>
                <w:rFonts w:cstheme="minorHAnsi"/>
                <w:bCs w:val="0"/>
              </w:rPr>
              <w:t xml:space="preserve"> </w:t>
            </w:r>
          </w:p>
        </w:tc>
        <w:tc>
          <w:tcPr>
            <w:tcW w:w="6169" w:type="dxa"/>
          </w:tcPr>
          <w:p w14:paraId="071FEF6B" w14:textId="77777777" w:rsidR="00C1220B" w:rsidRPr="005006C3"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Cs/>
              </w:rPr>
            </w:pPr>
            <w:r w:rsidRPr="00FF541A">
              <w:rPr>
                <w:rFonts w:cstheme="minorHAnsi"/>
                <w:b/>
                <w:bCs/>
              </w:rPr>
              <w:t>Interdiction</w:t>
            </w:r>
            <w:r>
              <w:rPr>
                <w:rFonts w:cstheme="minorHAnsi"/>
                <w:bCs/>
              </w:rPr>
              <w:t xml:space="preserve"> des couvercles à verre ou à gobelet en plastique à usage unique, </w:t>
            </w:r>
            <w:r w:rsidRPr="00C667DE">
              <w:rPr>
                <w:rFonts w:cstheme="minorHAnsi"/>
                <w:b/>
              </w:rPr>
              <w:t>non emballages</w:t>
            </w:r>
            <w:r>
              <w:rPr>
                <w:rFonts w:cstheme="minorHAnsi"/>
                <w:b/>
              </w:rPr>
              <w:t xml:space="preserve">. </w:t>
            </w:r>
            <w:r w:rsidRPr="00B0686C">
              <w:rPr>
                <w:rFonts w:cstheme="minorHAnsi"/>
              </w:rPr>
              <w:t xml:space="preserve">Les couvercles </w:t>
            </w:r>
            <w:r>
              <w:rPr>
                <w:rFonts w:cstheme="minorHAnsi"/>
              </w:rPr>
              <w:t xml:space="preserve">de boisson à emporter sont considérés comme des emballages et ne sont donc </w:t>
            </w:r>
            <w:r>
              <w:rPr>
                <w:rFonts w:cstheme="minorHAnsi"/>
                <w:bCs/>
              </w:rPr>
              <w:t>sont donc pas concernés par l’échéance du 1</w:t>
            </w:r>
            <w:r w:rsidRPr="00072F2D">
              <w:rPr>
                <w:rFonts w:cstheme="minorHAnsi"/>
                <w:bCs/>
                <w:vertAlign w:val="superscript"/>
              </w:rPr>
              <w:t>er</w:t>
            </w:r>
            <w:r>
              <w:rPr>
                <w:rFonts w:cstheme="minorHAnsi"/>
                <w:bCs/>
              </w:rPr>
              <w:t xml:space="preserve"> janvier 2020.</w:t>
            </w:r>
          </w:p>
        </w:tc>
        <w:tc>
          <w:tcPr>
            <w:tcW w:w="1485" w:type="dxa"/>
          </w:tcPr>
          <w:p w14:paraId="6F308AEC" w14:textId="77777777" w:rsidR="00C1220B"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sym w:font="Wingdings" w:char="F0FC"/>
            </w:r>
          </w:p>
        </w:tc>
      </w:tr>
      <w:tr w:rsidR="00C1220B" w14:paraId="51CEEB20" w14:textId="77777777" w:rsidTr="00291AB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560" w:type="dxa"/>
          </w:tcPr>
          <w:p w14:paraId="42F66747" w14:textId="77777777" w:rsidR="00C1220B" w:rsidRPr="00817819" w:rsidRDefault="00C1220B" w:rsidP="00622472">
            <w:pPr>
              <w:pStyle w:val="Sansinterligne"/>
              <w:rPr>
                <w:rFonts w:cstheme="minorHAnsi"/>
                <w:bCs w:val="0"/>
              </w:rPr>
            </w:pPr>
            <w:r>
              <w:rPr>
                <w:rFonts w:cstheme="minorHAnsi"/>
                <w:bCs w:val="0"/>
              </w:rPr>
              <w:t>Récipients alimentaires</w:t>
            </w:r>
          </w:p>
        </w:tc>
        <w:tc>
          <w:tcPr>
            <w:tcW w:w="6169" w:type="dxa"/>
          </w:tcPr>
          <w:p w14:paraId="01E4F440" w14:textId="77777777"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Ce sont des emballages et ils ne sont donc pas concernés par l’échéance du 1</w:t>
            </w:r>
            <w:r w:rsidRPr="00072F2D">
              <w:rPr>
                <w:rFonts w:cstheme="minorHAnsi"/>
                <w:bCs/>
                <w:vertAlign w:val="superscript"/>
              </w:rPr>
              <w:t>er</w:t>
            </w:r>
            <w:r>
              <w:rPr>
                <w:rFonts w:cstheme="minorHAnsi"/>
                <w:bCs/>
              </w:rPr>
              <w:t xml:space="preserve"> janvier 2020. </w:t>
            </w:r>
          </w:p>
        </w:tc>
        <w:tc>
          <w:tcPr>
            <w:tcW w:w="1485" w:type="dxa"/>
          </w:tcPr>
          <w:p w14:paraId="477AEC7A" w14:textId="0CADBF40" w:rsidR="00C1220B" w:rsidRDefault="00012D91"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sym w:font="Wingdings" w:char="F0FC"/>
            </w:r>
          </w:p>
        </w:tc>
      </w:tr>
      <w:tr w:rsidR="00C1220B" w14:paraId="466FE642" w14:textId="77777777" w:rsidTr="00291AB8">
        <w:trPr>
          <w:trHeight w:val="807"/>
        </w:trPr>
        <w:tc>
          <w:tcPr>
            <w:cnfStyle w:val="001000000000" w:firstRow="0" w:lastRow="0" w:firstColumn="1" w:lastColumn="0" w:oddVBand="0" w:evenVBand="0" w:oddHBand="0" w:evenHBand="0" w:firstRowFirstColumn="0" w:firstRowLastColumn="0" w:lastRowFirstColumn="0" w:lastRowLastColumn="0"/>
            <w:tcW w:w="1560" w:type="dxa"/>
          </w:tcPr>
          <w:p w14:paraId="0A1EFD33" w14:textId="77777777" w:rsidR="00C1220B" w:rsidRPr="00817819" w:rsidRDefault="00C1220B" w:rsidP="00622472">
            <w:pPr>
              <w:pStyle w:val="Sansinterligne"/>
              <w:rPr>
                <w:rFonts w:cstheme="minorHAnsi"/>
                <w:bCs w:val="0"/>
              </w:rPr>
            </w:pPr>
            <w:r w:rsidRPr="00817819">
              <w:rPr>
                <w:rFonts w:cstheme="minorHAnsi"/>
                <w:bCs w:val="0"/>
              </w:rPr>
              <w:t>Bâtonnets mélangeurs pour boissons</w:t>
            </w:r>
          </w:p>
        </w:tc>
        <w:tc>
          <w:tcPr>
            <w:tcW w:w="6169" w:type="dxa"/>
          </w:tcPr>
          <w:p w14:paraId="61E44772" w14:textId="77777777" w:rsidR="00C1220B" w:rsidRPr="00C667DE"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
              </w:rPr>
            </w:pPr>
            <w:r w:rsidRPr="00C667DE">
              <w:rPr>
                <w:rFonts w:cstheme="minorHAnsi"/>
                <w:b/>
              </w:rPr>
              <w:t>Interdiction</w:t>
            </w:r>
          </w:p>
        </w:tc>
        <w:tc>
          <w:tcPr>
            <w:tcW w:w="1485" w:type="dxa"/>
          </w:tcPr>
          <w:p w14:paraId="0D95C9EB" w14:textId="77777777" w:rsidR="00C1220B" w:rsidRPr="00D83B85"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highlight w:val="yellow"/>
              </w:rPr>
            </w:pPr>
            <w:r>
              <w:rPr>
                <w:rFonts w:cstheme="minorHAnsi"/>
                <w:bCs/>
              </w:rPr>
              <w:sym w:font="Wingdings" w:char="F0FC"/>
            </w:r>
          </w:p>
        </w:tc>
      </w:tr>
      <w:tr w:rsidR="00C1220B" w14:paraId="1A6BBEA1" w14:textId="77777777" w:rsidTr="00291AB8">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560" w:type="dxa"/>
          </w:tcPr>
          <w:p w14:paraId="4DE13A0F" w14:textId="77777777" w:rsidR="00C1220B" w:rsidRPr="00817819" w:rsidRDefault="00C1220B" w:rsidP="00622472">
            <w:pPr>
              <w:pStyle w:val="Sansinterligne"/>
              <w:rPr>
                <w:rFonts w:cstheme="minorHAnsi"/>
                <w:bCs w:val="0"/>
              </w:rPr>
            </w:pPr>
            <w:r w:rsidRPr="00817819">
              <w:rPr>
                <w:rFonts w:cstheme="minorHAnsi"/>
                <w:bCs w:val="0"/>
              </w:rPr>
              <w:t>Bâtonnets ouatés</w:t>
            </w:r>
          </w:p>
        </w:tc>
        <w:tc>
          <w:tcPr>
            <w:tcW w:w="6169" w:type="dxa"/>
          </w:tcPr>
          <w:p w14:paraId="547D213F" w14:textId="77777777"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sidRPr="00C667DE">
              <w:rPr>
                <w:rFonts w:cstheme="minorHAnsi"/>
                <w:b/>
              </w:rPr>
              <w:t>Interdiction</w:t>
            </w:r>
            <w:r>
              <w:rPr>
                <w:rFonts w:cstheme="minorHAnsi"/>
                <w:bCs/>
              </w:rPr>
              <w:t xml:space="preserve"> (usage domestique dont la tige est en plastique)</w:t>
            </w:r>
          </w:p>
        </w:tc>
        <w:tc>
          <w:tcPr>
            <w:tcW w:w="1485" w:type="dxa"/>
          </w:tcPr>
          <w:p w14:paraId="5F7158E2" w14:textId="77777777" w:rsidR="00C1220B"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rPr>
            </w:pPr>
          </w:p>
        </w:tc>
      </w:tr>
    </w:tbl>
    <w:p w14:paraId="327CE8E0" w14:textId="77777777" w:rsidR="00C1220B" w:rsidRDefault="00C1220B" w:rsidP="00C1220B">
      <w:pPr>
        <w:pStyle w:val="Sansinterligne"/>
        <w:jc w:val="both"/>
        <w:rPr>
          <w:rFonts w:cstheme="minorHAnsi"/>
          <w:bCs/>
          <w:i/>
          <w:iCs/>
        </w:rPr>
      </w:pPr>
    </w:p>
    <w:p w14:paraId="7CFEB0AA" w14:textId="77777777" w:rsidR="00C1220B" w:rsidRPr="009656DC" w:rsidRDefault="00C1220B" w:rsidP="00C1220B">
      <w:pPr>
        <w:pStyle w:val="Sansinterligne"/>
        <w:jc w:val="both"/>
        <w:rPr>
          <w:rFonts w:cstheme="minorHAnsi"/>
          <w:b/>
          <w:i/>
          <w:iCs/>
          <w:sz w:val="20"/>
          <w:szCs w:val="20"/>
        </w:rPr>
      </w:pPr>
      <w:r w:rsidRPr="009656DC">
        <w:rPr>
          <w:rFonts w:cstheme="minorHAnsi"/>
          <w:bCs/>
          <w:i/>
          <w:iCs/>
          <w:sz w:val="20"/>
          <w:szCs w:val="20"/>
        </w:rPr>
        <w:t xml:space="preserve">* Une </w:t>
      </w:r>
      <w:r w:rsidRPr="009656DC">
        <w:rPr>
          <w:rFonts w:cstheme="minorHAnsi"/>
          <w:b/>
          <w:i/>
          <w:iCs/>
          <w:sz w:val="20"/>
          <w:szCs w:val="20"/>
        </w:rPr>
        <w:t>exemption d’interdiction</w:t>
      </w:r>
      <w:r w:rsidRPr="009656DC">
        <w:rPr>
          <w:rFonts w:cstheme="minorHAnsi"/>
          <w:bCs/>
          <w:i/>
          <w:iCs/>
          <w:sz w:val="20"/>
          <w:szCs w:val="20"/>
        </w:rPr>
        <w:t xml:space="preserve"> est prévue pour les produits jetables en plastique biosourcés (dont la </w:t>
      </w:r>
      <w:r w:rsidRPr="009656DC">
        <w:rPr>
          <w:rFonts w:cstheme="minorHAnsi"/>
          <w:b/>
          <w:i/>
          <w:iCs/>
          <w:sz w:val="20"/>
          <w:szCs w:val="20"/>
        </w:rPr>
        <w:t>teneur biosourcée minimale est de 50% à partir du 1</w:t>
      </w:r>
      <w:r w:rsidRPr="009656DC">
        <w:rPr>
          <w:rFonts w:cstheme="minorHAnsi"/>
          <w:b/>
          <w:i/>
          <w:iCs/>
          <w:sz w:val="20"/>
          <w:szCs w:val="20"/>
          <w:vertAlign w:val="superscript"/>
        </w:rPr>
        <w:t>er</w:t>
      </w:r>
      <w:r w:rsidRPr="009656DC">
        <w:rPr>
          <w:rFonts w:cstheme="minorHAnsi"/>
          <w:b/>
          <w:i/>
          <w:iCs/>
          <w:sz w:val="20"/>
          <w:szCs w:val="20"/>
        </w:rPr>
        <w:t xml:space="preserve"> janvier 2020 et de 60% à partir du 1</w:t>
      </w:r>
      <w:r w:rsidRPr="009656DC">
        <w:rPr>
          <w:rFonts w:cstheme="minorHAnsi"/>
          <w:b/>
          <w:i/>
          <w:iCs/>
          <w:sz w:val="20"/>
          <w:szCs w:val="20"/>
          <w:vertAlign w:val="superscript"/>
        </w:rPr>
        <w:t>er</w:t>
      </w:r>
      <w:r w:rsidRPr="009656DC">
        <w:rPr>
          <w:rFonts w:cstheme="minorHAnsi"/>
          <w:b/>
          <w:i/>
          <w:iCs/>
          <w:sz w:val="20"/>
          <w:szCs w:val="20"/>
        </w:rPr>
        <w:t xml:space="preserve"> janvier 2025) </w:t>
      </w:r>
      <w:bookmarkStart w:id="1" w:name="_Hlk14795785"/>
      <w:r w:rsidRPr="009656DC">
        <w:rPr>
          <w:rFonts w:cstheme="minorHAnsi"/>
          <w:b/>
          <w:i/>
          <w:iCs/>
          <w:sz w:val="20"/>
          <w:szCs w:val="20"/>
          <w:u w:val="single"/>
        </w:rPr>
        <w:t>et</w:t>
      </w:r>
      <w:r w:rsidRPr="009656DC">
        <w:rPr>
          <w:rFonts w:cstheme="minorHAnsi"/>
          <w:b/>
          <w:i/>
          <w:iCs/>
          <w:sz w:val="20"/>
          <w:szCs w:val="20"/>
        </w:rPr>
        <w:t xml:space="preserve"> compostables en compostage domestique.</w:t>
      </w:r>
      <w:bookmarkEnd w:id="1"/>
    </w:p>
    <w:p w14:paraId="29756DDE" w14:textId="77777777" w:rsidR="00622472" w:rsidRPr="009656DC" w:rsidRDefault="00622472" w:rsidP="00C1220B">
      <w:pPr>
        <w:pStyle w:val="Sansinterligne"/>
        <w:jc w:val="both"/>
        <w:rPr>
          <w:rFonts w:cstheme="minorHAnsi"/>
          <w:bCs/>
          <w:i/>
          <w:iCs/>
          <w:sz w:val="20"/>
          <w:szCs w:val="20"/>
        </w:rPr>
      </w:pPr>
    </w:p>
    <w:p w14:paraId="1D5C0CC8" w14:textId="77777777" w:rsidR="00C1220B" w:rsidRDefault="00C1220B" w:rsidP="00C1220B">
      <w:pPr>
        <w:pStyle w:val="Sansinterligne"/>
        <w:ind w:left="708" w:firstLine="708"/>
        <w:jc w:val="both"/>
        <w:rPr>
          <w:rFonts w:cstheme="minorHAnsi"/>
          <w:b/>
        </w:rPr>
      </w:pPr>
      <w:r>
        <w:rPr>
          <w:rFonts w:cstheme="minorHAnsi"/>
          <w:b/>
        </w:rPr>
        <w:t>B – Au 3 juillet 2021</w:t>
      </w:r>
    </w:p>
    <w:p w14:paraId="6F63250D" w14:textId="77777777" w:rsidR="00C1220B" w:rsidRPr="00072F2D" w:rsidRDefault="00C1220B" w:rsidP="00C1220B">
      <w:pPr>
        <w:pStyle w:val="Sansinterligne"/>
        <w:jc w:val="both"/>
        <w:rPr>
          <w:rFonts w:cstheme="minorHAnsi"/>
          <w:bCs/>
        </w:rPr>
      </w:pPr>
    </w:p>
    <w:p w14:paraId="4991601A" w14:textId="0BDB65DE" w:rsidR="00C1220B" w:rsidRDefault="00C1220B" w:rsidP="00C1220B">
      <w:pPr>
        <w:pStyle w:val="Sansinterligne"/>
        <w:jc w:val="both"/>
        <w:rPr>
          <w:rFonts w:cstheme="minorHAnsi"/>
          <w:bCs/>
        </w:rPr>
      </w:pPr>
      <w:r>
        <w:rPr>
          <w:rFonts w:cstheme="minorHAnsi"/>
          <w:bCs/>
        </w:rPr>
        <w:lastRenderedPageBreak/>
        <w:t xml:space="preserve">Le décret d’application de la loi EGAlim prévoit que certains </w:t>
      </w:r>
      <w:r w:rsidRPr="00072F2D">
        <w:rPr>
          <w:rFonts w:cstheme="minorHAnsi"/>
          <w:bCs/>
        </w:rPr>
        <w:t>emballages en plastique à usage unique</w:t>
      </w:r>
      <w:r>
        <w:rPr>
          <w:rFonts w:cstheme="minorHAnsi"/>
          <w:bCs/>
        </w:rPr>
        <w:t>, au sens de la directive 94/62/CE</w:t>
      </w:r>
      <w:r w:rsidRPr="00072F2D">
        <w:rPr>
          <w:rFonts w:cstheme="minorHAnsi"/>
          <w:bCs/>
        </w:rPr>
        <w:t>, so</w:t>
      </w:r>
      <w:r w:rsidR="00E66D1F">
        <w:rPr>
          <w:rFonts w:cstheme="minorHAnsi"/>
          <w:bCs/>
        </w:rPr>
        <w:t>ient</w:t>
      </w:r>
      <w:r w:rsidRPr="00072F2D">
        <w:rPr>
          <w:rFonts w:cstheme="minorHAnsi"/>
          <w:bCs/>
        </w:rPr>
        <w:t xml:space="preserve"> interdits à partir du 3 juillet 2021. </w:t>
      </w:r>
    </w:p>
    <w:p w14:paraId="6920B35D" w14:textId="77777777" w:rsidR="00C1220B" w:rsidRDefault="00C1220B" w:rsidP="00C1220B">
      <w:pPr>
        <w:pStyle w:val="Sansinterligne"/>
        <w:jc w:val="both"/>
        <w:rPr>
          <w:rFonts w:cstheme="minorHAnsi"/>
          <w:bCs/>
        </w:rPr>
      </w:pPr>
    </w:p>
    <w:p w14:paraId="268DE289" w14:textId="77777777" w:rsidR="00C1220B" w:rsidRDefault="00C1220B" w:rsidP="00C1220B">
      <w:pPr>
        <w:pStyle w:val="Sansinterligne"/>
        <w:jc w:val="both"/>
        <w:rPr>
          <w:b/>
        </w:rPr>
      </w:pPr>
      <w:r>
        <w:rPr>
          <w:rFonts w:cstheme="minorHAnsi"/>
          <w:bCs/>
        </w:rPr>
        <w:t xml:space="preserve">La date du 3 juillet 2021 coïncide avec la date d’entrée en vigueur des obligations et restrictions de mise sur le marché instaurées par la directive </w:t>
      </w:r>
      <w:r w:rsidRPr="00072F2D">
        <w:t>SUP</w:t>
      </w:r>
      <w:r w:rsidRPr="00654550">
        <w:rPr>
          <w:b/>
        </w:rPr>
        <w:t>.</w:t>
      </w:r>
    </w:p>
    <w:p w14:paraId="2C385CE4" w14:textId="77777777" w:rsidR="00C1220B" w:rsidRDefault="00C1220B" w:rsidP="00C1220B">
      <w:pPr>
        <w:pStyle w:val="Sansinterligne"/>
        <w:jc w:val="both"/>
        <w:rPr>
          <w:rFonts w:cstheme="minorHAnsi"/>
          <w:b/>
        </w:rPr>
      </w:pPr>
    </w:p>
    <w:tbl>
      <w:tblPr>
        <w:tblStyle w:val="TableauGrille4-Accentuation61"/>
        <w:tblW w:w="9101" w:type="dxa"/>
        <w:tblInd w:w="-34" w:type="dxa"/>
        <w:tblLook w:val="04A0" w:firstRow="1" w:lastRow="0" w:firstColumn="1" w:lastColumn="0" w:noHBand="0" w:noVBand="1"/>
      </w:tblPr>
      <w:tblGrid>
        <w:gridCol w:w="1532"/>
        <w:gridCol w:w="6084"/>
        <w:gridCol w:w="1485"/>
      </w:tblGrid>
      <w:tr w:rsidR="00C1220B" w14:paraId="38140FC5" w14:textId="77777777" w:rsidTr="00291AB8">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560" w:type="dxa"/>
          </w:tcPr>
          <w:p w14:paraId="0950565F" w14:textId="77777777" w:rsidR="00C1220B" w:rsidRPr="006F015D" w:rsidRDefault="00C1220B" w:rsidP="003D22A2">
            <w:pPr>
              <w:pStyle w:val="Sansinterligne"/>
              <w:jc w:val="center"/>
              <w:rPr>
                <w:rFonts w:cstheme="minorHAnsi"/>
                <w:b w:val="0"/>
              </w:rPr>
            </w:pPr>
            <w:r w:rsidRPr="00817819">
              <w:rPr>
                <w:rFonts w:cstheme="minorHAnsi"/>
                <w:bCs w:val="0"/>
              </w:rPr>
              <w:t>Produit concerné</w:t>
            </w:r>
          </w:p>
        </w:tc>
        <w:tc>
          <w:tcPr>
            <w:tcW w:w="6570" w:type="dxa"/>
          </w:tcPr>
          <w:p w14:paraId="6A0E2F2F" w14:textId="77777777" w:rsidR="00C1220B" w:rsidRPr="005006C3" w:rsidRDefault="00C1220B" w:rsidP="003D22A2">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bCs w:val="0"/>
              </w:rPr>
            </w:pPr>
            <w:r w:rsidRPr="005006C3">
              <w:rPr>
                <w:rFonts w:cstheme="minorHAnsi"/>
                <w:bCs w:val="0"/>
              </w:rPr>
              <w:t>Spécification</w:t>
            </w:r>
            <w:r>
              <w:rPr>
                <w:rFonts w:cstheme="minorHAnsi"/>
                <w:bCs w:val="0"/>
              </w:rPr>
              <w:t xml:space="preserve"> à compter du 3 juillet 2021</w:t>
            </w:r>
          </w:p>
        </w:tc>
        <w:tc>
          <w:tcPr>
            <w:tcW w:w="971" w:type="dxa"/>
          </w:tcPr>
          <w:p w14:paraId="3D351283" w14:textId="77777777" w:rsidR="00C1220B" w:rsidRPr="005006C3" w:rsidRDefault="00C1220B" w:rsidP="003D22A2">
            <w:pPr>
              <w:pStyle w:val="Sansinterligne"/>
              <w:jc w:val="cente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Exemption compostables  domestique biosourcés*</w:t>
            </w:r>
          </w:p>
        </w:tc>
      </w:tr>
      <w:tr w:rsidR="00C1220B" w14:paraId="3E52F84C" w14:textId="77777777" w:rsidTr="00291AB8">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560" w:type="dxa"/>
          </w:tcPr>
          <w:p w14:paraId="74ADCCC8" w14:textId="77777777" w:rsidR="00C1220B" w:rsidRPr="00817819" w:rsidRDefault="00C1220B" w:rsidP="00622472">
            <w:pPr>
              <w:pStyle w:val="Sansinterligne"/>
              <w:rPr>
                <w:rFonts w:cstheme="minorHAnsi"/>
                <w:bCs w:val="0"/>
              </w:rPr>
            </w:pPr>
            <w:r w:rsidRPr="00817819">
              <w:rPr>
                <w:rFonts w:cstheme="minorHAnsi"/>
                <w:bCs w:val="0"/>
              </w:rPr>
              <w:t>Gobelets et verres</w:t>
            </w:r>
          </w:p>
        </w:tc>
        <w:tc>
          <w:tcPr>
            <w:tcW w:w="6570" w:type="dxa"/>
          </w:tcPr>
          <w:p w14:paraId="4A961B27" w14:textId="77777777"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sidRPr="007058B9">
              <w:rPr>
                <w:rFonts w:cstheme="minorHAnsi"/>
                <w:b/>
                <w:bCs/>
              </w:rPr>
              <w:t>Interdiction</w:t>
            </w:r>
            <w:r>
              <w:rPr>
                <w:rFonts w:cstheme="minorHAnsi"/>
                <w:bCs/>
              </w:rPr>
              <w:t xml:space="preserve"> si composés </w:t>
            </w:r>
            <w:r w:rsidRPr="00817819">
              <w:rPr>
                <w:rFonts w:cstheme="minorHAnsi"/>
                <w:b/>
              </w:rPr>
              <w:t xml:space="preserve">entièrement </w:t>
            </w:r>
            <w:r>
              <w:rPr>
                <w:rFonts w:cstheme="minorHAnsi"/>
                <w:b/>
              </w:rPr>
              <w:t>ou partiellement de plastique dont la teneur est supérieure à celle autorisée par un arrêté (avec réduction progressive de la teneur dans le temps), y compris si emballage</w:t>
            </w:r>
          </w:p>
        </w:tc>
        <w:tc>
          <w:tcPr>
            <w:tcW w:w="971" w:type="dxa"/>
          </w:tcPr>
          <w:p w14:paraId="7B9C82CD" w14:textId="77777777" w:rsidR="00C1220B"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sym w:font="Wingdings" w:char="F0FC"/>
            </w:r>
          </w:p>
        </w:tc>
      </w:tr>
      <w:tr w:rsidR="00C1220B" w14:paraId="3D87C204" w14:textId="77777777" w:rsidTr="00291AB8">
        <w:trPr>
          <w:trHeight w:val="1070"/>
        </w:trPr>
        <w:tc>
          <w:tcPr>
            <w:cnfStyle w:val="001000000000" w:firstRow="0" w:lastRow="0" w:firstColumn="1" w:lastColumn="0" w:oddVBand="0" w:evenVBand="0" w:oddHBand="0" w:evenHBand="0" w:firstRowFirstColumn="0" w:firstRowLastColumn="0" w:lastRowFirstColumn="0" w:lastRowLastColumn="0"/>
            <w:tcW w:w="1560" w:type="dxa"/>
          </w:tcPr>
          <w:p w14:paraId="100C3EF9" w14:textId="77777777" w:rsidR="00C1220B" w:rsidRPr="00817819" w:rsidRDefault="00C1220B" w:rsidP="00622472">
            <w:pPr>
              <w:pStyle w:val="Sansinterligne"/>
              <w:rPr>
                <w:rFonts w:cstheme="minorHAnsi"/>
                <w:bCs w:val="0"/>
              </w:rPr>
            </w:pPr>
            <w:r w:rsidRPr="00817819">
              <w:rPr>
                <w:rFonts w:cstheme="minorHAnsi"/>
                <w:bCs w:val="0"/>
              </w:rPr>
              <w:t>Assiettes jetables de cuisine pour la table</w:t>
            </w:r>
          </w:p>
        </w:tc>
        <w:tc>
          <w:tcPr>
            <w:tcW w:w="6570" w:type="dxa"/>
          </w:tcPr>
          <w:p w14:paraId="40D8953F" w14:textId="77777777" w:rsidR="00C1220B" w:rsidRPr="005006C3"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Cs/>
              </w:rPr>
            </w:pPr>
            <w:r w:rsidRPr="00684AFD">
              <w:rPr>
                <w:rFonts w:cstheme="minorHAnsi"/>
                <w:b/>
                <w:bCs/>
              </w:rPr>
              <w:t>Interdiction</w:t>
            </w:r>
            <w:r>
              <w:rPr>
                <w:rFonts w:cstheme="minorHAnsi"/>
                <w:bCs/>
              </w:rPr>
              <w:t xml:space="preserve"> de toutes les assiettes en plastique, y compris</w:t>
            </w:r>
            <w:r>
              <w:rPr>
                <w:rFonts w:cstheme="minorHAnsi"/>
                <w:b/>
              </w:rPr>
              <w:t xml:space="preserve"> </w:t>
            </w:r>
            <w:r w:rsidRPr="00684AFD">
              <w:rPr>
                <w:rFonts w:cstheme="minorHAnsi"/>
              </w:rPr>
              <w:t>celles avec un</w:t>
            </w:r>
            <w:r>
              <w:rPr>
                <w:rFonts w:cstheme="minorHAnsi"/>
                <w:b/>
              </w:rPr>
              <w:t xml:space="preserve"> film plastique et si emballage</w:t>
            </w:r>
          </w:p>
        </w:tc>
        <w:tc>
          <w:tcPr>
            <w:tcW w:w="971" w:type="dxa"/>
          </w:tcPr>
          <w:p w14:paraId="4FE273F8" w14:textId="77777777" w:rsidR="00C1220B"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rPr>
            </w:pPr>
          </w:p>
        </w:tc>
      </w:tr>
      <w:tr w:rsidR="00C1220B" w14:paraId="277307E9" w14:textId="77777777" w:rsidTr="00291AB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60" w:type="dxa"/>
          </w:tcPr>
          <w:p w14:paraId="1C2AF3E3" w14:textId="77777777" w:rsidR="00C1220B" w:rsidRPr="00817819" w:rsidRDefault="00C1220B" w:rsidP="00622472">
            <w:pPr>
              <w:pStyle w:val="Sansinterligne"/>
              <w:rPr>
                <w:rFonts w:cstheme="minorHAnsi"/>
                <w:bCs w:val="0"/>
              </w:rPr>
            </w:pPr>
            <w:r w:rsidRPr="00817819">
              <w:rPr>
                <w:rFonts w:cstheme="minorHAnsi"/>
                <w:bCs w:val="0"/>
              </w:rPr>
              <w:t>Pailles</w:t>
            </w:r>
          </w:p>
        </w:tc>
        <w:tc>
          <w:tcPr>
            <w:tcW w:w="6570" w:type="dxa"/>
          </w:tcPr>
          <w:p w14:paraId="36DB1C8A" w14:textId="2BC3AF95"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sidRPr="00B7388E">
              <w:rPr>
                <w:rFonts w:cstheme="minorHAnsi"/>
                <w:b/>
                <w:bCs/>
              </w:rPr>
              <w:t>Interdiction</w:t>
            </w:r>
            <w:r>
              <w:rPr>
                <w:rFonts w:cstheme="minorHAnsi"/>
                <w:bCs/>
              </w:rPr>
              <w:t xml:space="preserve"> </w:t>
            </w:r>
            <w:r w:rsidR="00BB60BC">
              <w:rPr>
                <w:rFonts w:cstheme="minorHAnsi"/>
                <w:bCs/>
              </w:rPr>
              <w:t xml:space="preserve">de toutes les pailles </w:t>
            </w:r>
            <w:r>
              <w:rPr>
                <w:rFonts w:cstheme="minorHAnsi"/>
                <w:bCs/>
              </w:rPr>
              <w:t xml:space="preserve">à l’exception des usages médicaux </w:t>
            </w:r>
          </w:p>
        </w:tc>
        <w:tc>
          <w:tcPr>
            <w:tcW w:w="971" w:type="dxa"/>
          </w:tcPr>
          <w:p w14:paraId="0EE2A224" w14:textId="77777777" w:rsidR="00C1220B" w:rsidRPr="00817819"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
              </w:rPr>
            </w:pPr>
          </w:p>
        </w:tc>
      </w:tr>
      <w:tr w:rsidR="00C1220B" w14:paraId="5E9351CB" w14:textId="77777777" w:rsidTr="00291AB8">
        <w:trPr>
          <w:trHeight w:val="1070"/>
        </w:trPr>
        <w:tc>
          <w:tcPr>
            <w:cnfStyle w:val="001000000000" w:firstRow="0" w:lastRow="0" w:firstColumn="1" w:lastColumn="0" w:oddVBand="0" w:evenVBand="0" w:oddHBand="0" w:evenHBand="0" w:firstRowFirstColumn="0" w:firstRowLastColumn="0" w:lastRowFirstColumn="0" w:lastRowLastColumn="0"/>
            <w:tcW w:w="1560" w:type="dxa"/>
          </w:tcPr>
          <w:p w14:paraId="03033E67" w14:textId="77777777" w:rsidR="00C1220B" w:rsidRPr="00817819" w:rsidRDefault="00C1220B" w:rsidP="00622472">
            <w:pPr>
              <w:pStyle w:val="Sansinterligne"/>
              <w:rPr>
                <w:rFonts w:cstheme="minorHAnsi"/>
                <w:bCs w:val="0"/>
              </w:rPr>
            </w:pPr>
            <w:r w:rsidRPr="00817819">
              <w:rPr>
                <w:rFonts w:cstheme="minorHAnsi"/>
                <w:bCs w:val="0"/>
              </w:rPr>
              <w:t>Couverts</w:t>
            </w:r>
          </w:p>
        </w:tc>
        <w:tc>
          <w:tcPr>
            <w:tcW w:w="6570" w:type="dxa"/>
          </w:tcPr>
          <w:p w14:paraId="2E7DB735" w14:textId="763B360E" w:rsidR="00C1220B" w:rsidRPr="005006C3" w:rsidRDefault="00C1220B" w:rsidP="00012D91">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
              </w:rPr>
              <w:t xml:space="preserve">Interdiction </w:t>
            </w:r>
            <w:r w:rsidR="00012D91">
              <w:rPr>
                <w:rFonts w:cstheme="minorHAnsi"/>
                <w:b/>
              </w:rPr>
              <w:t xml:space="preserve">de toutes les </w:t>
            </w:r>
            <w:r>
              <w:rPr>
                <w:rFonts w:cstheme="minorHAnsi"/>
                <w:b/>
              </w:rPr>
              <w:t>fourchettes, couteaux, cuillères et baguettes y</w:t>
            </w:r>
            <w:r w:rsidRPr="00B901C6">
              <w:rPr>
                <w:rFonts w:cstheme="minorHAnsi"/>
                <w:b/>
              </w:rPr>
              <w:t xml:space="preserve"> compris</w:t>
            </w:r>
            <w:r>
              <w:rPr>
                <w:rFonts w:cstheme="minorHAnsi"/>
                <w:bCs/>
              </w:rPr>
              <w:t xml:space="preserve"> ceux utilisés dans les établissements </w:t>
            </w:r>
            <w:r w:rsidRPr="00684AFD">
              <w:rPr>
                <w:rFonts w:cstheme="minorHAnsi"/>
                <w:bCs/>
              </w:rPr>
              <w:t>pénitentiaires</w:t>
            </w:r>
            <w:r>
              <w:rPr>
                <w:rFonts w:cstheme="minorHAnsi"/>
                <w:bCs/>
              </w:rPr>
              <w:t xml:space="preserve">, les établissements de </w:t>
            </w:r>
            <w:r w:rsidRPr="00684AFD">
              <w:rPr>
                <w:rFonts w:cstheme="minorHAnsi"/>
                <w:bCs/>
              </w:rPr>
              <w:t>santé</w:t>
            </w:r>
            <w:r>
              <w:rPr>
                <w:rFonts w:cstheme="minorHAnsi"/>
                <w:bCs/>
              </w:rPr>
              <w:t xml:space="preserve"> et dans le </w:t>
            </w:r>
            <w:r w:rsidRPr="00684AFD">
              <w:rPr>
                <w:rFonts w:cstheme="minorHAnsi"/>
                <w:bCs/>
              </w:rPr>
              <w:t>transport aérien, ferroviaire et maritime</w:t>
            </w:r>
          </w:p>
        </w:tc>
        <w:tc>
          <w:tcPr>
            <w:tcW w:w="971" w:type="dxa"/>
          </w:tcPr>
          <w:p w14:paraId="27EA322B" w14:textId="77777777" w:rsidR="00C1220B"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rPr>
            </w:pPr>
          </w:p>
        </w:tc>
      </w:tr>
      <w:tr w:rsidR="00C1220B" w14:paraId="51A93A64" w14:textId="77777777" w:rsidTr="00291AB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560" w:type="dxa"/>
          </w:tcPr>
          <w:p w14:paraId="54B5BF19" w14:textId="77777777" w:rsidR="00C1220B" w:rsidRPr="00817819" w:rsidRDefault="00C1220B" w:rsidP="00622472">
            <w:pPr>
              <w:pStyle w:val="Sansinterligne"/>
              <w:rPr>
                <w:rFonts w:cstheme="minorHAnsi"/>
                <w:bCs w:val="0"/>
              </w:rPr>
            </w:pPr>
            <w:r w:rsidRPr="00817819">
              <w:rPr>
                <w:rFonts w:cstheme="minorHAnsi"/>
                <w:bCs w:val="0"/>
              </w:rPr>
              <w:t>Piques à steak</w:t>
            </w:r>
          </w:p>
        </w:tc>
        <w:tc>
          <w:tcPr>
            <w:tcW w:w="6570" w:type="dxa"/>
          </w:tcPr>
          <w:p w14:paraId="5B710091" w14:textId="77777777" w:rsidR="00C1220B" w:rsidRPr="00B7388E"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
                <w:bCs/>
              </w:rPr>
            </w:pPr>
            <w:r w:rsidRPr="00B7388E">
              <w:rPr>
                <w:rFonts w:cstheme="minorHAnsi"/>
                <w:b/>
                <w:bCs/>
              </w:rPr>
              <w:t>Interdiction</w:t>
            </w:r>
          </w:p>
        </w:tc>
        <w:tc>
          <w:tcPr>
            <w:tcW w:w="971" w:type="dxa"/>
          </w:tcPr>
          <w:p w14:paraId="192F9664" w14:textId="77777777" w:rsidR="00C1220B" w:rsidRPr="00D83B85"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highlight w:val="yellow"/>
              </w:rPr>
            </w:pPr>
            <w:r>
              <w:rPr>
                <w:rFonts w:cstheme="minorHAnsi"/>
                <w:bCs/>
              </w:rPr>
              <w:sym w:font="Wingdings" w:char="F0FC"/>
            </w:r>
          </w:p>
        </w:tc>
      </w:tr>
      <w:tr w:rsidR="00C1220B" w14:paraId="272DEBDF" w14:textId="77777777" w:rsidTr="00291AB8">
        <w:trPr>
          <w:trHeight w:val="540"/>
        </w:trPr>
        <w:tc>
          <w:tcPr>
            <w:cnfStyle w:val="001000000000" w:firstRow="0" w:lastRow="0" w:firstColumn="1" w:lastColumn="0" w:oddVBand="0" w:evenVBand="0" w:oddHBand="0" w:evenHBand="0" w:firstRowFirstColumn="0" w:firstRowLastColumn="0" w:lastRowFirstColumn="0" w:lastRowLastColumn="0"/>
            <w:tcW w:w="1560" w:type="dxa"/>
          </w:tcPr>
          <w:p w14:paraId="6431F3C7" w14:textId="77777777" w:rsidR="00C1220B" w:rsidRPr="00817819" w:rsidRDefault="00C1220B" w:rsidP="00622472">
            <w:pPr>
              <w:pStyle w:val="Sansinterligne"/>
              <w:rPr>
                <w:rFonts w:cstheme="minorHAnsi"/>
                <w:bCs w:val="0"/>
              </w:rPr>
            </w:pPr>
            <w:r w:rsidRPr="00817819">
              <w:rPr>
                <w:rFonts w:cstheme="minorHAnsi"/>
                <w:bCs w:val="0"/>
              </w:rPr>
              <w:t>Couvercles à verre jetables</w:t>
            </w:r>
            <w:r>
              <w:rPr>
                <w:rFonts w:cstheme="minorHAnsi"/>
                <w:bCs w:val="0"/>
              </w:rPr>
              <w:t xml:space="preserve"> </w:t>
            </w:r>
          </w:p>
        </w:tc>
        <w:tc>
          <w:tcPr>
            <w:tcW w:w="6570" w:type="dxa"/>
          </w:tcPr>
          <w:p w14:paraId="6B62173F" w14:textId="77777777" w:rsidR="00C1220B" w:rsidRPr="005006C3"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Cs/>
              </w:rPr>
            </w:pPr>
            <w:r w:rsidRPr="00B7388E">
              <w:rPr>
                <w:rFonts w:cstheme="minorHAnsi"/>
                <w:b/>
                <w:bCs/>
              </w:rPr>
              <w:t>Interdiction</w:t>
            </w:r>
            <w:r>
              <w:rPr>
                <w:rFonts w:cstheme="minorHAnsi"/>
                <w:bCs/>
              </w:rPr>
              <w:t xml:space="preserve"> des couvercles à verre ou à gobelet en plastique à usage unique, y compris les couvercles de boisson à emporter </w:t>
            </w:r>
          </w:p>
        </w:tc>
        <w:tc>
          <w:tcPr>
            <w:tcW w:w="971" w:type="dxa"/>
          </w:tcPr>
          <w:p w14:paraId="2D22B2B1" w14:textId="77777777" w:rsidR="00C1220B"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sym w:font="Wingdings" w:char="F0FC"/>
            </w:r>
          </w:p>
        </w:tc>
      </w:tr>
      <w:tr w:rsidR="00C1220B" w14:paraId="63AB3103" w14:textId="77777777" w:rsidTr="00291AB8">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560" w:type="dxa"/>
          </w:tcPr>
          <w:p w14:paraId="27BE8D00" w14:textId="77777777" w:rsidR="00C1220B" w:rsidRPr="00817819" w:rsidRDefault="00C1220B" w:rsidP="00622472">
            <w:pPr>
              <w:pStyle w:val="Sansinterligne"/>
              <w:rPr>
                <w:rFonts w:cstheme="minorHAnsi"/>
                <w:bCs w:val="0"/>
              </w:rPr>
            </w:pPr>
            <w:r w:rsidRPr="00817819">
              <w:rPr>
                <w:rFonts w:cstheme="minorHAnsi"/>
                <w:bCs w:val="0"/>
              </w:rPr>
              <w:t>Plateaux-repas</w:t>
            </w:r>
            <w:r>
              <w:rPr>
                <w:rFonts w:cstheme="minorHAnsi"/>
                <w:bCs w:val="0"/>
              </w:rPr>
              <w:t>, Pots à glace, saladiers et boîtes**</w:t>
            </w:r>
          </w:p>
        </w:tc>
        <w:tc>
          <w:tcPr>
            <w:tcW w:w="6570" w:type="dxa"/>
          </w:tcPr>
          <w:p w14:paraId="5433FB50" w14:textId="77777777"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sidRPr="00B339AC">
              <w:rPr>
                <w:rFonts w:cstheme="minorHAnsi"/>
                <w:b/>
                <w:bCs/>
              </w:rPr>
              <w:t>Interdiction</w:t>
            </w:r>
            <w:r>
              <w:rPr>
                <w:rFonts w:cstheme="minorHAnsi"/>
                <w:bCs/>
              </w:rPr>
              <w:t xml:space="preserve"> pour ceux c</w:t>
            </w:r>
            <w:r w:rsidRPr="007D62C2">
              <w:rPr>
                <w:rFonts w:cstheme="minorHAnsi"/>
                <w:bCs/>
              </w:rPr>
              <w:t xml:space="preserve">omposés </w:t>
            </w:r>
            <w:r w:rsidRPr="007D62C2">
              <w:rPr>
                <w:rFonts w:cstheme="minorHAnsi"/>
                <w:b/>
              </w:rPr>
              <w:t>entièrement de plastique</w:t>
            </w:r>
            <w:r>
              <w:rPr>
                <w:rFonts w:cstheme="minorHAnsi"/>
                <w:b/>
              </w:rPr>
              <w:t xml:space="preserve"> (100%)</w:t>
            </w:r>
            <w:r w:rsidRPr="007D62C2">
              <w:rPr>
                <w:rFonts w:cstheme="minorHAnsi"/>
                <w:bCs/>
              </w:rPr>
              <w:t xml:space="preserve">, utilisés </w:t>
            </w:r>
            <w:r w:rsidRPr="007D62C2">
              <w:rPr>
                <w:rFonts w:cstheme="minorHAnsi"/>
                <w:b/>
              </w:rPr>
              <w:t>pour contenir des aliments</w:t>
            </w:r>
            <w:r w:rsidRPr="007D62C2">
              <w:rPr>
                <w:rFonts w:cstheme="minorHAnsi"/>
                <w:bCs/>
              </w:rPr>
              <w:t xml:space="preserve"> qui sont destinés à être </w:t>
            </w:r>
            <w:r w:rsidRPr="007D62C2">
              <w:rPr>
                <w:rFonts w:cstheme="minorHAnsi"/>
                <w:b/>
              </w:rPr>
              <w:t>consommés</w:t>
            </w:r>
            <w:r w:rsidRPr="007D62C2">
              <w:rPr>
                <w:rFonts w:cstheme="minorHAnsi"/>
                <w:bCs/>
              </w:rPr>
              <w:t xml:space="preserve"> </w:t>
            </w:r>
            <w:r w:rsidRPr="007D62C2">
              <w:rPr>
                <w:rFonts w:cstheme="minorHAnsi"/>
                <w:b/>
              </w:rPr>
              <w:t>immédiatement</w:t>
            </w:r>
            <w:r w:rsidRPr="007D62C2">
              <w:rPr>
                <w:rFonts w:cstheme="minorHAnsi"/>
                <w:bCs/>
              </w:rPr>
              <w:t xml:space="preserve">, soit </w:t>
            </w:r>
            <w:r w:rsidRPr="007D62C2">
              <w:rPr>
                <w:rFonts w:cstheme="minorHAnsi"/>
                <w:b/>
              </w:rPr>
              <w:t>sur place</w:t>
            </w:r>
            <w:r w:rsidRPr="007D62C2">
              <w:rPr>
                <w:rFonts w:cstheme="minorHAnsi"/>
                <w:bCs/>
              </w:rPr>
              <w:t xml:space="preserve">, soit </w:t>
            </w:r>
            <w:r w:rsidRPr="007D62C2">
              <w:rPr>
                <w:rFonts w:cstheme="minorHAnsi"/>
                <w:b/>
              </w:rPr>
              <w:t>à emporter</w:t>
            </w:r>
            <w:r w:rsidRPr="007D62C2">
              <w:rPr>
                <w:rFonts w:cstheme="minorHAnsi"/>
                <w:bCs/>
              </w:rPr>
              <w:t xml:space="preserve">, généralement </w:t>
            </w:r>
            <w:r w:rsidRPr="007D62C2">
              <w:rPr>
                <w:rFonts w:cstheme="minorHAnsi"/>
                <w:b/>
              </w:rPr>
              <w:t>consommés dans le récipient</w:t>
            </w:r>
            <w:r w:rsidRPr="007D62C2">
              <w:rPr>
                <w:rFonts w:cstheme="minorHAnsi"/>
                <w:bCs/>
              </w:rPr>
              <w:t xml:space="preserve">, et prêts à être consommés </w:t>
            </w:r>
            <w:r w:rsidRPr="007D62C2">
              <w:rPr>
                <w:rFonts w:cstheme="minorHAnsi"/>
                <w:b/>
              </w:rPr>
              <w:t>sans autre préparation</w:t>
            </w:r>
            <w:r w:rsidRPr="007D62C2">
              <w:rPr>
                <w:rFonts w:cstheme="minorHAnsi"/>
                <w:bCs/>
              </w:rPr>
              <w:t>, telle que le fait de les cuire, de les bouillir ou de les réchauffer</w:t>
            </w:r>
          </w:p>
        </w:tc>
        <w:tc>
          <w:tcPr>
            <w:tcW w:w="971" w:type="dxa"/>
          </w:tcPr>
          <w:p w14:paraId="693CFC62" w14:textId="77777777" w:rsidR="00C1220B"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sym w:font="Wingdings" w:char="F0FC"/>
            </w:r>
          </w:p>
        </w:tc>
      </w:tr>
      <w:tr w:rsidR="00C1220B" w14:paraId="5A76DEBE" w14:textId="77777777" w:rsidTr="00291AB8">
        <w:trPr>
          <w:trHeight w:val="810"/>
        </w:trPr>
        <w:tc>
          <w:tcPr>
            <w:cnfStyle w:val="001000000000" w:firstRow="0" w:lastRow="0" w:firstColumn="1" w:lastColumn="0" w:oddVBand="0" w:evenVBand="0" w:oddHBand="0" w:evenHBand="0" w:firstRowFirstColumn="0" w:firstRowLastColumn="0" w:lastRowFirstColumn="0" w:lastRowLastColumn="0"/>
            <w:tcW w:w="1560" w:type="dxa"/>
          </w:tcPr>
          <w:p w14:paraId="39843222" w14:textId="77777777" w:rsidR="00C1220B" w:rsidRPr="00817819" w:rsidRDefault="00C1220B" w:rsidP="00622472">
            <w:pPr>
              <w:pStyle w:val="Sansinterligne"/>
              <w:rPr>
                <w:rFonts w:cstheme="minorHAnsi"/>
                <w:bCs w:val="0"/>
              </w:rPr>
            </w:pPr>
            <w:r w:rsidRPr="00817819">
              <w:rPr>
                <w:rFonts w:cstheme="minorHAnsi"/>
                <w:bCs w:val="0"/>
              </w:rPr>
              <w:t>Bâtonnets mélangeurs pour boissons</w:t>
            </w:r>
          </w:p>
        </w:tc>
        <w:tc>
          <w:tcPr>
            <w:tcW w:w="6570" w:type="dxa"/>
          </w:tcPr>
          <w:p w14:paraId="1F84075D" w14:textId="77777777" w:rsidR="00C1220B" w:rsidRPr="00B7388E" w:rsidRDefault="00C1220B" w:rsidP="003D22A2">
            <w:pPr>
              <w:pStyle w:val="Sansinterligne"/>
              <w:jc w:val="both"/>
              <w:cnfStyle w:val="000000000000" w:firstRow="0" w:lastRow="0" w:firstColumn="0" w:lastColumn="0" w:oddVBand="0" w:evenVBand="0" w:oddHBand="0" w:evenHBand="0" w:firstRowFirstColumn="0" w:firstRowLastColumn="0" w:lastRowFirstColumn="0" w:lastRowLastColumn="0"/>
              <w:rPr>
                <w:rFonts w:cstheme="minorHAnsi"/>
                <w:b/>
                <w:bCs/>
              </w:rPr>
            </w:pPr>
            <w:r w:rsidRPr="00B7388E">
              <w:rPr>
                <w:rFonts w:cstheme="minorHAnsi"/>
                <w:b/>
                <w:bCs/>
              </w:rPr>
              <w:t>Interdiction</w:t>
            </w:r>
          </w:p>
        </w:tc>
        <w:tc>
          <w:tcPr>
            <w:tcW w:w="971" w:type="dxa"/>
          </w:tcPr>
          <w:p w14:paraId="271B396D" w14:textId="77777777" w:rsidR="00C1220B" w:rsidRPr="00D83B85" w:rsidRDefault="00C1220B" w:rsidP="003D22A2">
            <w:pPr>
              <w:pStyle w:val="Sansinterligne"/>
              <w:jc w:val="center"/>
              <w:cnfStyle w:val="000000000000" w:firstRow="0" w:lastRow="0" w:firstColumn="0" w:lastColumn="0" w:oddVBand="0" w:evenVBand="0" w:oddHBand="0" w:evenHBand="0" w:firstRowFirstColumn="0" w:firstRowLastColumn="0" w:lastRowFirstColumn="0" w:lastRowLastColumn="0"/>
              <w:rPr>
                <w:rFonts w:cstheme="minorHAnsi"/>
                <w:bCs/>
                <w:highlight w:val="yellow"/>
              </w:rPr>
            </w:pPr>
          </w:p>
        </w:tc>
      </w:tr>
      <w:tr w:rsidR="00C1220B" w14:paraId="1F8DEE18" w14:textId="77777777" w:rsidTr="00291AB8">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60" w:type="dxa"/>
          </w:tcPr>
          <w:p w14:paraId="1D4BF831" w14:textId="77777777" w:rsidR="00C1220B" w:rsidRPr="00817819" w:rsidRDefault="00C1220B" w:rsidP="00622472">
            <w:pPr>
              <w:pStyle w:val="Sansinterligne"/>
              <w:rPr>
                <w:rFonts w:cstheme="minorHAnsi"/>
                <w:bCs w:val="0"/>
              </w:rPr>
            </w:pPr>
            <w:r w:rsidRPr="00817819">
              <w:rPr>
                <w:rFonts w:cstheme="minorHAnsi"/>
                <w:bCs w:val="0"/>
              </w:rPr>
              <w:t>Bâtonnets ouatés</w:t>
            </w:r>
          </w:p>
        </w:tc>
        <w:tc>
          <w:tcPr>
            <w:tcW w:w="6570" w:type="dxa"/>
          </w:tcPr>
          <w:p w14:paraId="067D2920" w14:textId="77777777" w:rsidR="00C1220B" w:rsidRPr="005006C3" w:rsidRDefault="00C1220B" w:rsidP="003D22A2">
            <w:pPr>
              <w:pStyle w:val="Sansinterligne"/>
              <w:jc w:val="both"/>
              <w:cnfStyle w:val="000000100000" w:firstRow="0" w:lastRow="0" w:firstColumn="0" w:lastColumn="0" w:oddVBand="0" w:evenVBand="0" w:oddHBand="1" w:evenHBand="0" w:firstRowFirstColumn="0" w:firstRowLastColumn="0" w:lastRowFirstColumn="0" w:lastRowLastColumn="0"/>
              <w:rPr>
                <w:rFonts w:cstheme="minorHAnsi"/>
                <w:bCs/>
              </w:rPr>
            </w:pPr>
            <w:r w:rsidRPr="00B7388E">
              <w:rPr>
                <w:rFonts w:cstheme="minorHAnsi"/>
                <w:b/>
                <w:bCs/>
              </w:rPr>
              <w:t>Interdiction</w:t>
            </w:r>
            <w:r>
              <w:rPr>
                <w:rFonts w:cstheme="minorHAnsi"/>
                <w:bCs/>
              </w:rPr>
              <w:t xml:space="preserve"> (usage domestique dont la tige est en plastique)</w:t>
            </w:r>
          </w:p>
        </w:tc>
        <w:tc>
          <w:tcPr>
            <w:tcW w:w="971" w:type="dxa"/>
          </w:tcPr>
          <w:p w14:paraId="0A9F6262" w14:textId="77777777" w:rsidR="00C1220B" w:rsidRDefault="00C1220B" w:rsidP="003D22A2">
            <w:pPr>
              <w:pStyle w:val="Sansinterligne"/>
              <w:jc w:val="center"/>
              <w:cnfStyle w:val="000000100000" w:firstRow="0" w:lastRow="0" w:firstColumn="0" w:lastColumn="0" w:oddVBand="0" w:evenVBand="0" w:oddHBand="1" w:evenHBand="0" w:firstRowFirstColumn="0" w:firstRowLastColumn="0" w:lastRowFirstColumn="0" w:lastRowLastColumn="0"/>
              <w:rPr>
                <w:rFonts w:cstheme="minorHAnsi"/>
                <w:bCs/>
              </w:rPr>
            </w:pPr>
          </w:p>
        </w:tc>
      </w:tr>
    </w:tbl>
    <w:p w14:paraId="22F3D3CE" w14:textId="77777777" w:rsidR="00C1220B" w:rsidRDefault="00C1220B" w:rsidP="00C1220B">
      <w:pPr>
        <w:pStyle w:val="Sansinterligne"/>
        <w:jc w:val="both"/>
        <w:rPr>
          <w:rFonts w:cstheme="minorHAnsi"/>
          <w:bCs/>
          <w:i/>
          <w:iCs/>
        </w:rPr>
      </w:pPr>
    </w:p>
    <w:p w14:paraId="7F114B71" w14:textId="77777777" w:rsidR="00C1220B" w:rsidRDefault="00C1220B" w:rsidP="00C1220B">
      <w:pPr>
        <w:pStyle w:val="Sansinterligne"/>
        <w:jc w:val="both"/>
        <w:rPr>
          <w:rFonts w:cstheme="minorHAnsi"/>
          <w:b/>
          <w:i/>
          <w:iCs/>
          <w:sz w:val="20"/>
          <w:szCs w:val="20"/>
        </w:rPr>
      </w:pPr>
      <w:r w:rsidRPr="009656DC">
        <w:rPr>
          <w:rFonts w:cstheme="minorHAnsi"/>
          <w:bCs/>
          <w:i/>
          <w:iCs/>
          <w:sz w:val="20"/>
          <w:szCs w:val="20"/>
        </w:rPr>
        <w:t xml:space="preserve">* Une </w:t>
      </w:r>
      <w:r w:rsidRPr="009656DC">
        <w:rPr>
          <w:rFonts w:cstheme="minorHAnsi"/>
          <w:b/>
          <w:i/>
          <w:iCs/>
          <w:sz w:val="20"/>
          <w:szCs w:val="20"/>
        </w:rPr>
        <w:t>exemption d’interdiction</w:t>
      </w:r>
      <w:r w:rsidRPr="009656DC">
        <w:rPr>
          <w:rFonts w:cstheme="minorHAnsi"/>
          <w:bCs/>
          <w:i/>
          <w:iCs/>
          <w:sz w:val="20"/>
          <w:szCs w:val="20"/>
        </w:rPr>
        <w:t xml:space="preserve"> est prévue pour les produits jetables en plastique biosourcés (dont la </w:t>
      </w:r>
      <w:r w:rsidRPr="009656DC">
        <w:rPr>
          <w:rFonts w:cstheme="minorHAnsi"/>
          <w:b/>
          <w:i/>
          <w:iCs/>
          <w:sz w:val="20"/>
          <w:szCs w:val="20"/>
        </w:rPr>
        <w:t>teneur biosourcée minimale est de 50% à partir du 1</w:t>
      </w:r>
      <w:r w:rsidRPr="009656DC">
        <w:rPr>
          <w:rFonts w:cstheme="minorHAnsi"/>
          <w:b/>
          <w:i/>
          <w:iCs/>
          <w:sz w:val="20"/>
          <w:szCs w:val="20"/>
          <w:vertAlign w:val="superscript"/>
        </w:rPr>
        <w:t>er</w:t>
      </w:r>
      <w:r w:rsidRPr="009656DC">
        <w:rPr>
          <w:rFonts w:cstheme="minorHAnsi"/>
          <w:b/>
          <w:i/>
          <w:iCs/>
          <w:sz w:val="20"/>
          <w:szCs w:val="20"/>
        </w:rPr>
        <w:t xml:space="preserve"> janvier 2020 et de 60% à partir du 1</w:t>
      </w:r>
      <w:r w:rsidRPr="009656DC">
        <w:rPr>
          <w:rFonts w:cstheme="minorHAnsi"/>
          <w:b/>
          <w:i/>
          <w:iCs/>
          <w:sz w:val="20"/>
          <w:szCs w:val="20"/>
          <w:vertAlign w:val="superscript"/>
        </w:rPr>
        <w:t>er</w:t>
      </w:r>
      <w:r w:rsidRPr="009656DC">
        <w:rPr>
          <w:rFonts w:cstheme="minorHAnsi"/>
          <w:b/>
          <w:i/>
          <w:iCs/>
          <w:sz w:val="20"/>
          <w:szCs w:val="20"/>
        </w:rPr>
        <w:t xml:space="preserve"> janvier 2025)</w:t>
      </w:r>
      <w:r w:rsidRPr="009656DC">
        <w:rPr>
          <w:rFonts w:cstheme="minorHAnsi"/>
          <w:b/>
          <w:i/>
          <w:iCs/>
          <w:sz w:val="20"/>
          <w:szCs w:val="20"/>
          <w:u w:val="single"/>
        </w:rPr>
        <w:t xml:space="preserve"> et</w:t>
      </w:r>
      <w:r w:rsidRPr="009656DC">
        <w:rPr>
          <w:rFonts w:cstheme="minorHAnsi"/>
          <w:b/>
          <w:i/>
          <w:iCs/>
          <w:sz w:val="20"/>
          <w:szCs w:val="20"/>
        </w:rPr>
        <w:t xml:space="preserve"> compostables en compostage domestique.</w:t>
      </w:r>
    </w:p>
    <w:p w14:paraId="55882470" w14:textId="77777777" w:rsidR="009656DC" w:rsidRPr="009656DC" w:rsidRDefault="009656DC" w:rsidP="00C1220B">
      <w:pPr>
        <w:pStyle w:val="Sansinterligne"/>
        <w:jc w:val="both"/>
        <w:rPr>
          <w:rFonts w:cstheme="minorHAnsi"/>
          <w:b/>
          <w:i/>
          <w:iCs/>
          <w:sz w:val="20"/>
          <w:szCs w:val="20"/>
        </w:rPr>
      </w:pPr>
    </w:p>
    <w:p w14:paraId="62EAB63A" w14:textId="77777777" w:rsidR="00C1220B" w:rsidRDefault="00C1220B" w:rsidP="00C1220B">
      <w:pPr>
        <w:pStyle w:val="Sansinterligne"/>
        <w:jc w:val="both"/>
        <w:rPr>
          <w:rFonts w:cstheme="minorHAnsi"/>
          <w:b/>
          <w:i/>
          <w:iCs/>
          <w:sz w:val="20"/>
          <w:szCs w:val="20"/>
        </w:rPr>
      </w:pPr>
      <w:r w:rsidRPr="009656DC">
        <w:rPr>
          <w:rFonts w:cstheme="minorHAnsi"/>
          <w:bCs/>
          <w:sz w:val="20"/>
          <w:szCs w:val="20"/>
        </w:rPr>
        <w:t xml:space="preserve">** </w:t>
      </w:r>
      <w:r w:rsidRPr="009656DC">
        <w:rPr>
          <w:rFonts w:cstheme="minorHAnsi"/>
          <w:b/>
          <w:i/>
          <w:iCs/>
          <w:sz w:val="20"/>
          <w:szCs w:val="20"/>
        </w:rPr>
        <w:t>Les récipients exemptés sont</w:t>
      </w:r>
      <w:r w:rsidRPr="009656DC">
        <w:rPr>
          <w:rFonts w:cstheme="minorHAnsi"/>
          <w:bCs/>
          <w:i/>
          <w:iCs/>
          <w:sz w:val="20"/>
          <w:szCs w:val="20"/>
        </w:rPr>
        <w:t xml:space="preserve">  : </w:t>
      </w:r>
      <w:r w:rsidR="009656DC" w:rsidRPr="009656DC">
        <w:rPr>
          <w:rFonts w:cstheme="minorHAnsi"/>
          <w:bCs/>
          <w:i/>
          <w:iCs/>
          <w:sz w:val="20"/>
          <w:szCs w:val="20"/>
        </w:rPr>
        <w:t>les récipients pour aliments contenant des aliments secs ou des aliments vendus froids qui exigent une préparation supplémentaire, les récipients contenant des aliments présentés dans des portions plus grandes que des portions individuelles ou les récipients pour aliments contenant des portions individuelles vendus à plus d’une unité constituent des exemples de récipients pour aliments ne devant pas être considérés comme des produits en plastique à usage unique (considérant 12 de la SUP).</w:t>
      </w:r>
    </w:p>
    <w:p w14:paraId="615DAB3B" w14:textId="77777777" w:rsidR="009656DC" w:rsidRDefault="009656DC" w:rsidP="00C1220B">
      <w:pPr>
        <w:pStyle w:val="Sansinterligne"/>
        <w:jc w:val="both"/>
        <w:rPr>
          <w:rFonts w:cstheme="minorHAnsi"/>
          <w:b/>
          <w:i/>
          <w:iCs/>
          <w:sz w:val="20"/>
          <w:szCs w:val="20"/>
        </w:rPr>
      </w:pPr>
    </w:p>
    <w:p w14:paraId="617EE04E" w14:textId="77777777" w:rsidR="009656DC" w:rsidRPr="009656DC" w:rsidRDefault="009656DC" w:rsidP="00C1220B">
      <w:pPr>
        <w:pStyle w:val="Sansinterligne"/>
        <w:jc w:val="both"/>
        <w:rPr>
          <w:rFonts w:cstheme="minorHAnsi"/>
          <w:bCs/>
          <w:i/>
          <w:iCs/>
          <w:sz w:val="20"/>
          <w:szCs w:val="20"/>
        </w:rPr>
      </w:pPr>
    </w:p>
    <w:p w14:paraId="5B70036D" w14:textId="77777777" w:rsidR="00C1220B" w:rsidRDefault="00C1220B" w:rsidP="00C1220B">
      <w:pPr>
        <w:pStyle w:val="Sansinterligne"/>
        <w:jc w:val="both"/>
        <w:rPr>
          <w:rFonts w:cstheme="minorHAnsi"/>
          <w:b/>
        </w:rPr>
      </w:pPr>
    </w:p>
    <w:p w14:paraId="7340466F" w14:textId="6C7B3C44" w:rsidR="00C1220B" w:rsidRDefault="00C1220B" w:rsidP="00C1220B">
      <w:pPr>
        <w:pStyle w:val="Sansinterligne"/>
        <w:numPr>
          <w:ilvl w:val="0"/>
          <w:numId w:val="3"/>
        </w:numPr>
        <w:jc w:val="both"/>
        <w:rPr>
          <w:rFonts w:cstheme="minorHAnsi"/>
          <w:b/>
        </w:rPr>
      </w:pPr>
      <w:r>
        <w:rPr>
          <w:rFonts w:cstheme="minorHAnsi"/>
          <w:b/>
        </w:rPr>
        <w:t xml:space="preserve">LES CONSULTATIONS PREVUES AVANT </w:t>
      </w:r>
      <w:r w:rsidR="008F67B1">
        <w:rPr>
          <w:rFonts w:cstheme="minorHAnsi"/>
          <w:b/>
        </w:rPr>
        <w:t xml:space="preserve">LA </w:t>
      </w:r>
      <w:r>
        <w:rPr>
          <w:rFonts w:cstheme="minorHAnsi"/>
          <w:b/>
        </w:rPr>
        <w:t>PUBLICATION DU DECRET</w:t>
      </w:r>
    </w:p>
    <w:p w14:paraId="03DB085D" w14:textId="77777777" w:rsidR="00C1220B" w:rsidRDefault="00C1220B" w:rsidP="00C1220B">
      <w:pPr>
        <w:pStyle w:val="Sansinterligne"/>
        <w:jc w:val="both"/>
        <w:rPr>
          <w:rFonts w:cstheme="minorHAnsi"/>
          <w:b/>
        </w:rPr>
      </w:pPr>
    </w:p>
    <w:p w14:paraId="04DC8AF7" w14:textId="77777777" w:rsidR="00C1220B" w:rsidRDefault="00C1220B" w:rsidP="00C1220B">
      <w:pPr>
        <w:pStyle w:val="Sansinterligne"/>
        <w:ind w:left="708" w:firstLine="708"/>
        <w:jc w:val="both"/>
        <w:rPr>
          <w:rFonts w:cstheme="minorHAnsi"/>
          <w:b/>
        </w:rPr>
      </w:pPr>
      <w:r>
        <w:rPr>
          <w:rFonts w:cstheme="minorHAnsi"/>
          <w:b/>
        </w:rPr>
        <w:t xml:space="preserve">A – Délai de la procédure européenne de notification </w:t>
      </w:r>
    </w:p>
    <w:p w14:paraId="1BCBDB88" w14:textId="77777777" w:rsidR="00C1220B" w:rsidRDefault="00C1220B" w:rsidP="00C1220B">
      <w:pPr>
        <w:pStyle w:val="Sansinterligne"/>
        <w:ind w:left="708" w:firstLine="708"/>
        <w:jc w:val="both"/>
        <w:rPr>
          <w:rFonts w:cstheme="minorHAnsi"/>
          <w:b/>
        </w:rPr>
      </w:pPr>
    </w:p>
    <w:p w14:paraId="76B1B3EA" w14:textId="77777777" w:rsidR="00C1220B" w:rsidRDefault="00C1220B" w:rsidP="00C1220B">
      <w:pPr>
        <w:pStyle w:val="Sansinterligne"/>
        <w:jc w:val="both"/>
        <w:rPr>
          <w:rFonts w:cstheme="minorHAnsi"/>
          <w:bCs/>
        </w:rPr>
      </w:pPr>
      <w:r>
        <w:rPr>
          <w:rFonts w:cstheme="minorHAnsi"/>
          <w:bCs/>
        </w:rPr>
        <w:t>Conformément à la procédure européenne ainsi qu’à l’article 16 de la Directive 94/62/CE relative aux emballages et déchets d’emballages, les États membres sont tenus d’informer la Commission européenne (CE) de tout projet de mesures qu’ils prévoient d’adopter.</w:t>
      </w:r>
    </w:p>
    <w:p w14:paraId="1A500B1A" w14:textId="77777777" w:rsidR="00C1220B" w:rsidRDefault="00C1220B" w:rsidP="00C1220B">
      <w:pPr>
        <w:pStyle w:val="Sansinterligne"/>
        <w:jc w:val="both"/>
        <w:rPr>
          <w:rFonts w:cstheme="minorHAnsi"/>
          <w:bCs/>
        </w:rPr>
      </w:pPr>
      <w:r>
        <w:rPr>
          <w:rFonts w:cstheme="minorHAnsi"/>
          <w:bCs/>
        </w:rPr>
        <w:t xml:space="preserve"> </w:t>
      </w:r>
    </w:p>
    <w:p w14:paraId="0BC697ED" w14:textId="77777777" w:rsidR="00C1220B" w:rsidRPr="00C22841" w:rsidRDefault="00C1220B" w:rsidP="00C1220B">
      <w:pPr>
        <w:pStyle w:val="Sansinterligne"/>
        <w:jc w:val="both"/>
        <w:rPr>
          <w:rFonts w:cstheme="minorHAnsi"/>
          <w:b/>
        </w:rPr>
      </w:pPr>
      <w:r>
        <w:rPr>
          <w:rFonts w:cstheme="minorHAnsi"/>
          <w:bCs/>
        </w:rPr>
        <w:t>Le projet de décret a été notifié à la CE le 18 juillet 2019</w:t>
      </w:r>
      <w:r>
        <w:rPr>
          <w:rStyle w:val="Appelnotedebasdep"/>
          <w:rFonts w:cstheme="minorHAnsi"/>
          <w:bCs/>
        </w:rPr>
        <w:footnoteReference w:id="1"/>
      </w:r>
      <w:r>
        <w:rPr>
          <w:rFonts w:cstheme="minorHAnsi"/>
          <w:bCs/>
        </w:rPr>
        <w:t> : une période de statut quo de trois mois démarre,</w:t>
      </w:r>
      <w:r w:rsidRPr="00161E44">
        <w:rPr>
          <w:rFonts w:cstheme="minorHAnsi"/>
          <w:bCs/>
        </w:rPr>
        <w:t xml:space="preserve"> </w:t>
      </w:r>
      <w:r>
        <w:rPr>
          <w:rFonts w:cstheme="minorHAnsi"/>
          <w:bCs/>
        </w:rPr>
        <w:t xml:space="preserve">jusqu’au 21 octobre 2019. Durant ce laps de temps, la </w:t>
      </w:r>
      <w:r w:rsidRPr="0038195D">
        <w:rPr>
          <w:rFonts w:cstheme="minorHAnsi"/>
          <w:bCs/>
        </w:rPr>
        <w:t>CE, les États membres ainsi que toute partie prenante peuvent émettre des observat</w:t>
      </w:r>
      <w:r>
        <w:rPr>
          <w:rFonts w:cstheme="minorHAnsi"/>
          <w:bCs/>
        </w:rPr>
        <w:t xml:space="preserve">ions (un </w:t>
      </w:r>
      <w:r w:rsidRPr="0038195D">
        <w:rPr>
          <w:rFonts w:cstheme="minorHAnsi"/>
          <w:bCs/>
        </w:rPr>
        <w:t>avis circonstancié</w:t>
      </w:r>
      <w:r>
        <w:rPr>
          <w:rFonts w:cstheme="minorHAnsi"/>
          <w:bCs/>
        </w:rPr>
        <w:t xml:space="preserve">), </w:t>
      </w:r>
      <w:r w:rsidRPr="0038195D">
        <w:rPr>
          <w:rFonts w:cstheme="minorHAnsi"/>
          <w:bCs/>
        </w:rPr>
        <w:t>obligeant le Gouvernement français à expliquer les mesures qu'il entend prendre en réponse à l'avis circonstancié.</w:t>
      </w:r>
      <w:r>
        <w:rPr>
          <w:rFonts w:cstheme="minorHAnsi"/>
          <w:bCs/>
        </w:rPr>
        <w:t xml:space="preserve"> Cet avis circonstancié aurait pour</w:t>
      </w:r>
      <w:r w:rsidRPr="0038195D">
        <w:rPr>
          <w:rFonts w:cstheme="minorHAnsi"/>
          <w:bCs/>
        </w:rPr>
        <w:t xml:space="preserve"> effet de prolonger la période de statu quo de trois mois supplémentaires</w:t>
      </w:r>
      <w:r>
        <w:t>.</w:t>
      </w:r>
    </w:p>
    <w:p w14:paraId="5CBF0A68" w14:textId="77777777" w:rsidR="00C1220B" w:rsidRDefault="00C1220B" w:rsidP="00C1220B">
      <w:pPr>
        <w:pStyle w:val="Sansinterligne"/>
        <w:jc w:val="both"/>
        <w:rPr>
          <w:rFonts w:cstheme="minorHAnsi"/>
          <w:bCs/>
        </w:rPr>
      </w:pPr>
    </w:p>
    <w:p w14:paraId="27FF112C" w14:textId="1E8CBB63" w:rsidR="00C1220B" w:rsidRDefault="00C1220B" w:rsidP="00C1220B">
      <w:pPr>
        <w:pStyle w:val="Sansinterligne"/>
        <w:jc w:val="both"/>
        <w:rPr>
          <w:rFonts w:cstheme="minorHAnsi"/>
          <w:bCs/>
        </w:rPr>
      </w:pPr>
      <w:r>
        <w:rPr>
          <w:rFonts w:cstheme="minorHAnsi"/>
          <w:bCs/>
        </w:rPr>
        <w:t xml:space="preserve">Parallèlement à cette </w:t>
      </w:r>
      <w:r w:rsidR="007859AC">
        <w:rPr>
          <w:rFonts w:cstheme="minorHAnsi"/>
          <w:bCs/>
        </w:rPr>
        <w:t>notification</w:t>
      </w:r>
      <w:r>
        <w:rPr>
          <w:rFonts w:cstheme="minorHAnsi"/>
          <w:bCs/>
        </w:rPr>
        <w:t>, le Ministère de la Transition Ecologique et Solidaire ouvre une</w:t>
      </w:r>
      <w:r w:rsidRPr="00C22841">
        <w:rPr>
          <w:rFonts w:cstheme="minorHAnsi"/>
          <w:b/>
        </w:rPr>
        <w:t xml:space="preserve"> consultation publique jusqu’au </w:t>
      </w:r>
      <w:r>
        <w:rPr>
          <w:rFonts w:cstheme="minorHAnsi"/>
          <w:b/>
        </w:rPr>
        <w:t>3 septembre</w:t>
      </w:r>
      <w:r w:rsidRPr="00C22841">
        <w:rPr>
          <w:rFonts w:cstheme="minorHAnsi"/>
          <w:b/>
        </w:rPr>
        <w:t xml:space="preserve"> 2019</w:t>
      </w:r>
      <w:r>
        <w:rPr>
          <w:rFonts w:cstheme="minorHAnsi"/>
          <w:bCs/>
        </w:rPr>
        <w:t xml:space="preserve">. </w:t>
      </w:r>
    </w:p>
    <w:p w14:paraId="7F429335" w14:textId="77777777" w:rsidR="00C1220B" w:rsidRDefault="00C1220B" w:rsidP="00C1220B">
      <w:pPr>
        <w:pStyle w:val="Sansinterligne"/>
        <w:jc w:val="both"/>
        <w:rPr>
          <w:rFonts w:cstheme="minorHAnsi"/>
          <w:bCs/>
        </w:rPr>
      </w:pPr>
    </w:p>
    <w:p w14:paraId="38164A5F" w14:textId="77777777" w:rsidR="00C1220B" w:rsidRDefault="00C1220B" w:rsidP="00C1220B">
      <w:pPr>
        <w:pStyle w:val="Sansinterligne"/>
        <w:ind w:left="708" w:firstLine="708"/>
        <w:jc w:val="both"/>
        <w:rPr>
          <w:rFonts w:cstheme="minorHAnsi"/>
          <w:b/>
        </w:rPr>
      </w:pPr>
      <w:r>
        <w:rPr>
          <w:rFonts w:cstheme="minorHAnsi"/>
          <w:b/>
        </w:rPr>
        <w:t>B – Articulation au niveau national : le projet de loi relatif à la lutte contre le gaspillage et à l’économie circulaire</w:t>
      </w:r>
    </w:p>
    <w:p w14:paraId="4A2FEA90" w14:textId="77777777" w:rsidR="00C1220B" w:rsidRDefault="00C1220B" w:rsidP="00C1220B">
      <w:pPr>
        <w:pStyle w:val="Sansinterligne"/>
        <w:jc w:val="both"/>
        <w:rPr>
          <w:rFonts w:cstheme="minorHAnsi"/>
          <w:b/>
        </w:rPr>
      </w:pPr>
    </w:p>
    <w:p w14:paraId="2B467E2A" w14:textId="77777777" w:rsidR="00C1220B" w:rsidRDefault="00C1220B" w:rsidP="00C1220B">
      <w:pPr>
        <w:pStyle w:val="Sansinterligne"/>
        <w:jc w:val="both"/>
        <w:rPr>
          <w:rFonts w:cstheme="minorHAnsi"/>
          <w:bCs/>
        </w:rPr>
      </w:pPr>
      <w:r>
        <w:rPr>
          <w:rFonts w:cstheme="minorHAnsi"/>
          <w:bCs/>
        </w:rPr>
        <w:t xml:space="preserve">Le 10 juillet 2019, le Gouvernement a présenté en Conseil des ministres le projet de loi relatif à la lutte contre le gaspillage et à l’économie circulaire dont le débat au Parlement débutera au Sénat le 24 septembre 2019 pour être discuté à l’Assemblée nationale au plus tôt en novembre 2019. </w:t>
      </w:r>
    </w:p>
    <w:p w14:paraId="4A62E1A8" w14:textId="77777777" w:rsidR="00C1220B" w:rsidRDefault="00C1220B" w:rsidP="00C1220B">
      <w:pPr>
        <w:pStyle w:val="Sansinterligne"/>
        <w:jc w:val="both"/>
        <w:rPr>
          <w:rFonts w:cstheme="minorHAnsi"/>
          <w:bCs/>
        </w:rPr>
      </w:pPr>
    </w:p>
    <w:p w14:paraId="4E77C00C" w14:textId="77777777" w:rsidR="00C1220B" w:rsidRDefault="00C1220B" w:rsidP="00C1220B">
      <w:pPr>
        <w:pStyle w:val="Sansinterligne"/>
        <w:jc w:val="both"/>
        <w:rPr>
          <w:rFonts w:cstheme="minorHAnsi"/>
          <w:bCs/>
        </w:rPr>
      </w:pPr>
      <w:r>
        <w:rPr>
          <w:rFonts w:cstheme="minorHAnsi"/>
          <w:bCs/>
        </w:rPr>
        <w:t>Des</w:t>
      </w:r>
      <w:r w:rsidRPr="00B339AC">
        <w:rPr>
          <w:rFonts w:cstheme="minorHAnsi"/>
          <w:bCs/>
        </w:rPr>
        <w:t xml:space="preserve"> amendements soutenus par le Gouvernement</w:t>
      </w:r>
      <w:r>
        <w:rPr>
          <w:rFonts w:cstheme="minorHAnsi"/>
          <w:bCs/>
        </w:rPr>
        <w:t xml:space="preserve"> pourraient modifier le </w:t>
      </w:r>
      <w:r w:rsidRPr="00B339AC">
        <w:rPr>
          <w:rFonts w:cstheme="minorHAnsi"/>
          <w:bCs/>
        </w:rPr>
        <w:t xml:space="preserve">périmètre des interdictions, concernant le cas particulier des « boîtes ». </w:t>
      </w:r>
      <w:r>
        <w:rPr>
          <w:rFonts w:cstheme="minorHAnsi"/>
          <w:bCs/>
        </w:rPr>
        <w:t xml:space="preserve"> </w:t>
      </w:r>
    </w:p>
    <w:p w14:paraId="630F7A47" w14:textId="77777777" w:rsidR="00C1220B" w:rsidRDefault="00C1220B" w:rsidP="00C1220B">
      <w:pPr>
        <w:pStyle w:val="NormalWeb"/>
        <w:spacing w:before="0" w:beforeAutospacing="0" w:after="0" w:afterAutospacing="0"/>
        <w:jc w:val="both"/>
        <w:rPr>
          <w:rFonts w:asciiTheme="minorHAnsi" w:eastAsiaTheme="minorHAnsi" w:hAnsiTheme="minorHAnsi" w:cstheme="minorHAnsi"/>
          <w:bCs/>
          <w:sz w:val="22"/>
          <w:szCs w:val="22"/>
          <w:lang w:eastAsia="en-US"/>
        </w:rPr>
      </w:pPr>
    </w:p>
    <w:p w14:paraId="63D2E18A" w14:textId="77777777" w:rsidR="00C1220B" w:rsidRDefault="00C1220B" w:rsidP="00C1220B">
      <w:pPr>
        <w:pStyle w:val="NormalWeb"/>
        <w:spacing w:before="0" w:beforeAutospacing="0" w:after="0" w:afterAutospacing="0"/>
        <w:jc w:val="both"/>
        <w:rPr>
          <w:rFonts w:asciiTheme="minorHAnsi" w:eastAsiaTheme="minorHAnsi" w:hAnsiTheme="minorHAnsi" w:cstheme="minorHAnsi"/>
          <w:bCs/>
          <w:sz w:val="22"/>
          <w:szCs w:val="22"/>
          <w:lang w:eastAsia="en-US"/>
        </w:rPr>
      </w:pPr>
      <w:r w:rsidRPr="00AF2D9D">
        <w:rPr>
          <w:rFonts w:asciiTheme="minorHAnsi" w:eastAsiaTheme="minorHAnsi" w:hAnsiTheme="minorHAnsi" w:cstheme="minorHAnsi"/>
          <w:bCs/>
          <w:sz w:val="22"/>
          <w:szCs w:val="22"/>
          <w:lang w:eastAsia="en-US"/>
        </w:rPr>
        <w:t>A titre d’illustration, le discours de politique générale du 12 juin 2019 du Premier ministre Édouard Philippe</w:t>
      </w:r>
      <w:r>
        <w:rPr>
          <w:rStyle w:val="Appelnotedebasdep"/>
          <w:rFonts w:asciiTheme="minorHAnsi" w:eastAsiaTheme="minorHAnsi" w:hAnsiTheme="minorHAnsi" w:cstheme="minorHAnsi"/>
          <w:bCs/>
          <w:sz w:val="22"/>
          <w:szCs w:val="22"/>
          <w:lang w:eastAsia="en-US"/>
        </w:rPr>
        <w:footnoteReference w:id="2"/>
      </w:r>
      <w:r>
        <w:rPr>
          <w:rFonts w:asciiTheme="minorHAnsi" w:eastAsiaTheme="minorHAnsi" w:hAnsiTheme="minorHAnsi" w:cstheme="minorHAnsi"/>
          <w:bCs/>
          <w:sz w:val="22"/>
          <w:szCs w:val="22"/>
          <w:lang w:eastAsia="en-US"/>
        </w:rPr>
        <w:t xml:space="preserve"> mentionne qu’ « </w:t>
      </w:r>
      <w:r>
        <w:rPr>
          <w:rFonts w:asciiTheme="minorHAnsi" w:eastAsiaTheme="minorHAnsi" w:hAnsiTheme="minorHAnsi" w:cstheme="minorHAnsi"/>
          <w:bCs/>
          <w:i/>
          <w:iCs/>
          <w:sz w:val="22"/>
          <w:szCs w:val="22"/>
          <w:lang w:eastAsia="en-US"/>
        </w:rPr>
        <w:t>u</w:t>
      </w:r>
      <w:r w:rsidRPr="00AF2D9D">
        <w:rPr>
          <w:rFonts w:asciiTheme="minorHAnsi" w:eastAsiaTheme="minorHAnsi" w:hAnsiTheme="minorHAnsi" w:cstheme="minorHAnsi"/>
          <w:bCs/>
          <w:i/>
          <w:iCs/>
          <w:sz w:val="22"/>
          <w:szCs w:val="22"/>
          <w:lang w:eastAsia="en-US"/>
        </w:rPr>
        <w:t>n amendement avait étendu cette obligation</w:t>
      </w:r>
      <w:r>
        <w:rPr>
          <w:rFonts w:asciiTheme="minorHAnsi" w:eastAsiaTheme="minorHAnsi" w:hAnsiTheme="minorHAnsi" w:cstheme="minorHAnsi"/>
          <w:bCs/>
          <w:i/>
          <w:iCs/>
          <w:sz w:val="22"/>
          <w:szCs w:val="22"/>
          <w:lang w:eastAsia="en-US"/>
        </w:rPr>
        <w:t xml:space="preserve"> (i.e. suppression des plastiques à usage unique)</w:t>
      </w:r>
      <w:r w:rsidRPr="00AF2D9D">
        <w:rPr>
          <w:rFonts w:asciiTheme="minorHAnsi" w:eastAsiaTheme="minorHAnsi" w:hAnsiTheme="minorHAnsi" w:cstheme="minorHAnsi"/>
          <w:bCs/>
          <w:i/>
          <w:iCs/>
          <w:sz w:val="22"/>
          <w:szCs w:val="22"/>
          <w:lang w:eastAsia="en-US"/>
        </w:rPr>
        <w:t xml:space="preserve"> à toutes les boîtes plastiques. Nous avions considéré ensemble qu’il déstabilisait trop nos industries et qu’il fallait le corriger. </w:t>
      </w:r>
      <w:r w:rsidRPr="00AF2D9D">
        <w:rPr>
          <w:rFonts w:asciiTheme="minorHAnsi" w:eastAsiaTheme="minorHAnsi" w:hAnsiTheme="minorHAnsi" w:cstheme="minorHAnsi"/>
          <w:b/>
          <w:i/>
          <w:iCs/>
          <w:sz w:val="22"/>
          <w:szCs w:val="22"/>
          <w:lang w:eastAsia="en-US"/>
        </w:rPr>
        <w:t>Mais son intention était bonne et je vous proposerai dans le cadre de la loi anti- gaspillage, des dispositions pour interdire progressivement les boîtes plastiques qui ne sont pas constituées de plastique recyclé</w:t>
      </w:r>
      <w:r>
        <w:rPr>
          <w:rFonts w:asciiTheme="minorHAnsi" w:eastAsiaTheme="minorHAnsi" w:hAnsiTheme="minorHAnsi" w:cstheme="minorHAnsi"/>
          <w:b/>
          <w:sz w:val="22"/>
          <w:szCs w:val="22"/>
          <w:lang w:eastAsia="en-US"/>
        </w:rPr>
        <w:t xml:space="preserve"> ». </w:t>
      </w:r>
    </w:p>
    <w:p w14:paraId="2C234C9E" w14:textId="77777777" w:rsidR="00C1220B" w:rsidRPr="00E508ED" w:rsidRDefault="00C1220B" w:rsidP="00C1220B">
      <w:pPr>
        <w:pStyle w:val="NormalWeb"/>
        <w:spacing w:before="0" w:beforeAutospacing="0" w:after="0" w:afterAutospacing="0"/>
        <w:jc w:val="both"/>
        <w:rPr>
          <w:rFonts w:asciiTheme="minorHAnsi" w:eastAsiaTheme="minorHAnsi" w:hAnsiTheme="minorHAnsi" w:cstheme="minorHAnsi"/>
          <w:bCs/>
          <w:sz w:val="22"/>
          <w:szCs w:val="22"/>
          <w:lang w:eastAsia="en-US"/>
        </w:rPr>
      </w:pPr>
    </w:p>
    <w:p w14:paraId="613F08F0" w14:textId="285268C3" w:rsidR="00C1220B" w:rsidRPr="0097627C" w:rsidRDefault="008F31DB" w:rsidP="00C1220B">
      <w:pPr>
        <w:pStyle w:val="Sansinterligne"/>
        <w:numPr>
          <w:ilvl w:val="0"/>
          <w:numId w:val="3"/>
        </w:numPr>
        <w:jc w:val="both"/>
        <w:rPr>
          <w:rFonts w:cstheme="minorHAnsi"/>
          <w:b/>
        </w:rPr>
      </w:pPr>
      <w:r>
        <w:rPr>
          <w:rFonts w:cstheme="minorHAnsi"/>
          <w:b/>
        </w:rPr>
        <w:t>UNE SUR-TRANSPOSITION DE LA</w:t>
      </w:r>
      <w:r w:rsidR="00C1220B">
        <w:rPr>
          <w:rFonts w:cstheme="minorHAnsi"/>
          <w:b/>
        </w:rPr>
        <w:t xml:space="preserve"> DIRECTIVE SUP</w:t>
      </w:r>
    </w:p>
    <w:p w14:paraId="4A46BA3A" w14:textId="77777777" w:rsidR="00C1220B" w:rsidRDefault="00C1220B" w:rsidP="00C1220B">
      <w:pPr>
        <w:pStyle w:val="Sansinterligne"/>
        <w:jc w:val="both"/>
        <w:rPr>
          <w:i/>
        </w:rPr>
      </w:pPr>
    </w:p>
    <w:p w14:paraId="16631126" w14:textId="77777777" w:rsidR="00C1220B" w:rsidRDefault="00C1220B" w:rsidP="00C1220B">
      <w:pPr>
        <w:pStyle w:val="Sansinterligne"/>
        <w:jc w:val="both"/>
        <w:rPr>
          <w:b/>
        </w:rPr>
      </w:pPr>
      <w:r>
        <w:rPr>
          <w:iCs/>
        </w:rPr>
        <w:t xml:space="preserve">Le présent décret notifié en l’état comporte certaines incohérences avec la </w:t>
      </w:r>
      <w:r>
        <w:rPr>
          <w:rFonts w:cstheme="minorHAnsi"/>
          <w:b/>
        </w:rPr>
        <w:t>d</w:t>
      </w:r>
      <w:r w:rsidRPr="00654550">
        <w:rPr>
          <w:rFonts w:cstheme="minorHAnsi"/>
          <w:b/>
        </w:rPr>
        <w:t xml:space="preserve">irective européenne </w:t>
      </w:r>
      <w:r w:rsidRPr="00654550">
        <w:rPr>
          <w:b/>
        </w:rPr>
        <w:t>SUP du 5 juin 2019</w:t>
      </w:r>
      <w:r>
        <w:rPr>
          <w:b/>
        </w:rPr>
        <w:t>.</w:t>
      </w:r>
    </w:p>
    <w:p w14:paraId="71959C9E" w14:textId="77777777" w:rsidR="00C1220B" w:rsidRDefault="00C1220B" w:rsidP="00C1220B">
      <w:pPr>
        <w:pStyle w:val="Sansinterligne"/>
        <w:jc w:val="both"/>
        <w:rPr>
          <w:b/>
        </w:rPr>
      </w:pPr>
    </w:p>
    <w:p w14:paraId="13A653FC" w14:textId="77777777" w:rsidR="00C1220B" w:rsidRDefault="00C1220B" w:rsidP="00C1220B">
      <w:pPr>
        <w:pStyle w:val="Sansinterligne"/>
        <w:jc w:val="both"/>
        <w:rPr>
          <w:bCs/>
        </w:rPr>
      </w:pPr>
      <w:r>
        <w:rPr>
          <w:bCs/>
        </w:rPr>
        <w:t xml:space="preserve">En effet, l’article 4 « réduction de la consommation » de la directive SUP prévoit la possibilité pour un État membre d’imposer des restrictions de commercialisation afin de garantir une substitution des produits en plastique à usage unique visés par des </w:t>
      </w:r>
      <w:r w:rsidRPr="00B339AC">
        <w:rPr>
          <w:bCs/>
          <w:u w:val="single"/>
        </w:rPr>
        <w:t>alternatives</w:t>
      </w:r>
      <w:r w:rsidRPr="00AC46BD">
        <w:rPr>
          <w:bCs/>
        </w:rPr>
        <w:t xml:space="preserve"> </w:t>
      </w:r>
      <w:r w:rsidRPr="003E062D">
        <w:rPr>
          <w:bCs/>
        </w:rPr>
        <w:t>qui soient</w:t>
      </w:r>
      <w:r w:rsidRPr="00B339AC">
        <w:rPr>
          <w:bCs/>
          <w:u w:val="single"/>
        </w:rPr>
        <w:t xml:space="preserve"> réutilisables</w:t>
      </w:r>
      <w:r>
        <w:rPr>
          <w:bCs/>
        </w:rPr>
        <w:t xml:space="preserve"> </w:t>
      </w:r>
      <w:r w:rsidRPr="00B339AC">
        <w:rPr>
          <w:bCs/>
          <w:u w:val="single"/>
        </w:rPr>
        <w:t>ou qui ne contiennent pas de plastique</w:t>
      </w:r>
      <w:r>
        <w:rPr>
          <w:bCs/>
        </w:rPr>
        <w:t xml:space="preserve">. </w:t>
      </w:r>
    </w:p>
    <w:p w14:paraId="6EF0A450" w14:textId="77777777" w:rsidR="00C1220B" w:rsidRDefault="00C1220B" w:rsidP="00C1220B">
      <w:pPr>
        <w:pStyle w:val="Sansinterligne"/>
        <w:jc w:val="both"/>
        <w:rPr>
          <w:bCs/>
        </w:rPr>
      </w:pPr>
    </w:p>
    <w:p w14:paraId="20DC92FE" w14:textId="77777777" w:rsidR="00C1220B" w:rsidRDefault="00C1220B" w:rsidP="00C1220B">
      <w:pPr>
        <w:pStyle w:val="Sansinterligne"/>
        <w:jc w:val="both"/>
        <w:rPr>
          <w:bCs/>
        </w:rPr>
      </w:pPr>
      <w:r>
        <w:rPr>
          <w:bCs/>
        </w:rPr>
        <w:t xml:space="preserve">Or, le projet de décret prévoit la </w:t>
      </w:r>
      <w:r w:rsidRPr="0092129A">
        <w:rPr>
          <w:b/>
        </w:rPr>
        <w:t xml:space="preserve">possibilité de substituer certains produits à usage unique entièrement composés de plastique par des produits à usage unique composés partiellement de </w:t>
      </w:r>
      <w:r w:rsidRPr="0092129A">
        <w:rPr>
          <w:b/>
        </w:rPr>
        <w:lastRenderedPageBreak/>
        <w:t>plastique</w:t>
      </w:r>
      <w:r>
        <w:rPr>
          <w:bCs/>
        </w:rPr>
        <w:t> (1) dont la teneur légale sera progressivement réduite pour les gobelets et verres (2) sans précisions quant à la teneur en plastique légale pour les plateaux-repas, pots à glace, saladiers et boîtes.</w:t>
      </w:r>
    </w:p>
    <w:p w14:paraId="48FFCC8D" w14:textId="77777777" w:rsidR="00C1220B" w:rsidRDefault="00C1220B" w:rsidP="00C1220B">
      <w:pPr>
        <w:pStyle w:val="Sansinterligne"/>
        <w:jc w:val="both"/>
        <w:rPr>
          <w:bCs/>
        </w:rPr>
      </w:pPr>
    </w:p>
    <w:p w14:paraId="1857127E" w14:textId="1C5759BA" w:rsidR="00C1220B" w:rsidRPr="00871306" w:rsidRDefault="00C1220B" w:rsidP="00C1220B">
      <w:pPr>
        <w:pStyle w:val="Sansinterligne"/>
        <w:jc w:val="both"/>
        <w:rPr>
          <w:b/>
        </w:rPr>
      </w:pPr>
      <w:r>
        <w:rPr>
          <w:bCs/>
        </w:rPr>
        <w:t xml:space="preserve">La substitution ne serait pas conforme à la directive, </w:t>
      </w:r>
      <w:r w:rsidRPr="00871306">
        <w:rPr>
          <w:b/>
        </w:rPr>
        <w:t>tant que</w:t>
      </w:r>
      <w:r w:rsidR="005B2F3E">
        <w:rPr>
          <w:b/>
        </w:rPr>
        <w:t xml:space="preserve"> les produits de substitution autorisés contiennent du plastique. </w:t>
      </w:r>
      <w:r w:rsidRPr="00871306">
        <w:rPr>
          <w:b/>
        </w:rPr>
        <w:t xml:space="preserve"> </w:t>
      </w:r>
    </w:p>
    <w:p w14:paraId="5F6D3A5F" w14:textId="77777777" w:rsidR="00C1220B" w:rsidRDefault="00C1220B" w:rsidP="00C1220B">
      <w:pPr>
        <w:spacing w:after="0" w:line="240" w:lineRule="auto"/>
        <w:jc w:val="both"/>
        <w:rPr>
          <w:rFonts w:cstheme="minorHAnsi"/>
          <w:i/>
        </w:rPr>
      </w:pPr>
    </w:p>
    <w:p w14:paraId="7C653D1A" w14:textId="0B6439C1" w:rsidR="00C1220B" w:rsidRPr="00D06774" w:rsidRDefault="00C1220B" w:rsidP="00C1220B">
      <w:pPr>
        <w:pStyle w:val="Paragraphedeliste"/>
        <w:numPr>
          <w:ilvl w:val="0"/>
          <w:numId w:val="5"/>
        </w:numPr>
        <w:spacing w:after="0" w:line="240" w:lineRule="auto"/>
        <w:jc w:val="both"/>
        <w:rPr>
          <w:rFonts w:cstheme="minorHAnsi"/>
          <w:b/>
        </w:rPr>
      </w:pPr>
      <w:r w:rsidRPr="00D06774">
        <w:rPr>
          <w:rFonts w:cstheme="minorHAnsi"/>
          <w:b/>
        </w:rPr>
        <w:t>QUESTIONS</w:t>
      </w:r>
      <w:r w:rsidR="00D356F8">
        <w:rPr>
          <w:rFonts w:cstheme="minorHAnsi"/>
          <w:b/>
        </w:rPr>
        <w:t xml:space="preserve"> / REPONSES</w:t>
      </w:r>
    </w:p>
    <w:p w14:paraId="52E6128B" w14:textId="77777777" w:rsidR="00C1220B" w:rsidRDefault="00C1220B" w:rsidP="00C1220B">
      <w:pPr>
        <w:spacing w:after="0" w:line="240" w:lineRule="auto"/>
        <w:jc w:val="both"/>
        <w:rPr>
          <w:rFonts w:cstheme="minorHAnsi"/>
          <w:b/>
        </w:rPr>
      </w:pPr>
    </w:p>
    <w:p w14:paraId="5F624153" w14:textId="77777777" w:rsidR="00C1220B" w:rsidRPr="006E5D13" w:rsidRDefault="00C1220B" w:rsidP="00C1220B">
      <w:pPr>
        <w:pStyle w:val="Paragraphedeliste"/>
        <w:numPr>
          <w:ilvl w:val="0"/>
          <w:numId w:val="4"/>
        </w:numPr>
        <w:spacing w:after="0" w:line="240" w:lineRule="auto"/>
        <w:jc w:val="both"/>
        <w:rPr>
          <w:rFonts w:cstheme="minorHAnsi"/>
          <w:i/>
        </w:rPr>
      </w:pPr>
      <w:r w:rsidRPr="006E5D13">
        <w:rPr>
          <w:rFonts w:cstheme="minorHAnsi"/>
          <w:b/>
        </w:rPr>
        <w:t xml:space="preserve">Est-ce que les produits plastiques biosourcés, biodégradables et/ou compostables </w:t>
      </w:r>
      <w:r>
        <w:rPr>
          <w:rFonts w:cstheme="minorHAnsi"/>
          <w:b/>
        </w:rPr>
        <w:t xml:space="preserve">en compostage domestique </w:t>
      </w:r>
      <w:r w:rsidRPr="006E5D13">
        <w:rPr>
          <w:rFonts w:cstheme="minorHAnsi"/>
          <w:b/>
        </w:rPr>
        <w:t xml:space="preserve">peuvent être utilisés comme produits de substitution </w:t>
      </w:r>
      <w:r w:rsidRPr="00B339AC">
        <w:rPr>
          <w:rFonts w:cstheme="minorHAnsi"/>
          <w:b/>
          <w:u w:val="single"/>
        </w:rPr>
        <w:t>selon la directive SUP</w:t>
      </w:r>
      <w:r w:rsidRPr="006E5D13">
        <w:rPr>
          <w:rFonts w:cstheme="minorHAnsi"/>
          <w:b/>
        </w:rPr>
        <w:t> ?</w:t>
      </w:r>
    </w:p>
    <w:p w14:paraId="5770FD65" w14:textId="77777777" w:rsidR="00C1220B" w:rsidRDefault="00C1220B" w:rsidP="00C1220B">
      <w:pPr>
        <w:pStyle w:val="Sansinterligne"/>
        <w:jc w:val="both"/>
        <w:rPr>
          <w:rFonts w:cstheme="minorHAnsi"/>
          <w:b/>
        </w:rPr>
      </w:pPr>
    </w:p>
    <w:p w14:paraId="24B5E947" w14:textId="77777777" w:rsidR="00C1220B" w:rsidRPr="00D52D45" w:rsidRDefault="00C1220B" w:rsidP="00C1220B">
      <w:pPr>
        <w:pStyle w:val="Sansinterligne"/>
        <w:jc w:val="both"/>
        <w:rPr>
          <w:bCs/>
        </w:rPr>
      </w:pPr>
      <w:r w:rsidRPr="00D52D45">
        <w:rPr>
          <w:bCs/>
        </w:rPr>
        <w:t>Non pour les produits interdits. Ces produits restent autorisés pour l</w:t>
      </w:r>
      <w:r>
        <w:rPr>
          <w:bCs/>
        </w:rPr>
        <w:t xml:space="preserve">es produits soumis à réduction (voir les tableaux pour les produits qui sont autorisés). </w:t>
      </w:r>
    </w:p>
    <w:p w14:paraId="71C31D9C" w14:textId="77777777" w:rsidR="00C1220B" w:rsidRDefault="00C1220B" w:rsidP="00C1220B">
      <w:pPr>
        <w:pStyle w:val="Sansinterligne"/>
        <w:jc w:val="both"/>
        <w:rPr>
          <w:rFonts w:cstheme="minorHAnsi"/>
        </w:rPr>
      </w:pPr>
    </w:p>
    <w:p w14:paraId="6553DB30" w14:textId="77777777" w:rsidR="00C1220B" w:rsidRPr="006E5D13" w:rsidRDefault="00C1220B" w:rsidP="00C1220B">
      <w:pPr>
        <w:pStyle w:val="Sansinterligne"/>
        <w:numPr>
          <w:ilvl w:val="0"/>
          <w:numId w:val="4"/>
        </w:numPr>
        <w:jc w:val="both"/>
        <w:rPr>
          <w:rFonts w:cstheme="minorHAnsi"/>
        </w:rPr>
      </w:pPr>
      <w:r w:rsidRPr="006E5D13">
        <w:rPr>
          <w:rFonts w:cstheme="minorHAnsi"/>
          <w:b/>
        </w:rPr>
        <w:t xml:space="preserve">Un écoulement des stocks est-il prévu ? </w:t>
      </w:r>
    </w:p>
    <w:p w14:paraId="5D0CA178" w14:textId="77777777" w:rsidR="00C1220B" w:rsidRPr="006E5D13" w:rsidRDefault="00C1220B" w:rsidP="00C1220B">
      <w:pPr>
        <w:pStyle w:val="Sansinterligne"/>
        <w:ind w:left="720"/>
        <w:jc w:val="both"/>
        <w:rPr>
          <w:rFonts w:cstheme="minorHAnsi"/>
        </w:rPr>
      </w:pPr>
    </w:p>
    <w:p w14:paraId="489B5B0D" w14:textId="67169558" w:rsidR="00C1220B" w:rsidRPr="006E5D13" w:rsidRDefault="00C1220B" w:rsidP="00C1220B">
      <w:pPr>
        <w:spacing w:after="0" w:line="240" w:lineRule="auto"/>
        <w:jc w:val="both"/>
        <w:rPr>
          <w:bCs/>
        </w:rPr>
      </w:pPr>
      <w:r w:rsidRPr="006E5D13">
        <w:rPr>
          <w:bCs/>
        </w:rPr>
        <w:t>Il n’y a pas d’écoulement des stocks prévus en l’état </w:t>
      </w:r>
      <w:r>
        <w:rPr>
          <w:bCs/>
        </w:rPr>
        <w:t>pour l’application de la loi EGA</w:t>
      </w:r>
      <w:r w:rsidR="00D356F8">
        <w:rPr>
          <w:bCs/>
        </w:rPr>
        <w:t>lim</w:t>
      </w:r>
      <w:r>
        <w:rPr>
          <w:bCs/>
        </w:rPr>
        <w:t xml:space="preserve"> </w:t>
      </w:r>
      <w:r w:rsidRPr="006E5D13">
        <w:rPr>
          <w:bCs/>
        </w:rPr>
        <w:t xml:space="preserve">: </w:t>
      </w:r>
    </w:p>
    <w:p w14:paraId="0B00CF21" w14:textId="686C38E4" w:rsidR="00C1220B" w:rsidRPr="006E5D13" w:rsidRDefault="00C1220B" w:rsidP="00C1220B">
      <w:pPr>
        <w:pStyle w:val="Paragraphedeliste"/>
        <w:numPr>
          <w:ilvl w:val="0"/>
          <w:numId w:val="1"/>
        </w:numPr>
        <w:spacing w:after="0" w:line="240" w:lineRule="auto"/>
        <w:jc w:val="both"/>
        <w:rPr>
          <w:bCs/>
        </w:rPr>
      </w:pPr>
      <w:r w:rsidRPr="006E5D13">
        <w:rPr>
          <w:bCs/>
        </w:rPr>
        <w:t xml:space="preserve">Les mesures d’interdiction des gobelets, assiettes et verres jetables sont connues depuis la loi LTECV de 2015. Ce délai n’a pas </w:t>
      </w:r>
      <w:r>
        <w:rPr>
          <w:bCs/>
        </w:rPr>
        <w:t>été modifié par la loi E</w:t>
      </w:r>
      <w:r w:rsidR="00D356F8">
        <w:rPr>
          <w:bCs/>
        </w:rPr>
        <w:t>GA</w:t>
      </w:r>
      <w:r>
        <w:rPr>
          <w:bCs/>
        </w:rPr>
        <w:t xml:space="preserve">lim. </w:t>
      </w:r>
    </w:p>
    <w:p w14:paraId="3916CA74" w14:textId="77777777" w:rsidR="00C1220B" w:rsidRPr="006E5D13" w:rsidRDefault="00C1220B" w:rsidP="00C1220B">
      <w:pPr>
        <w:pStyle w:val="Paragraphedeliste"/>
        <w:numPr>
          <w:ilvl w:val="0"/>
          <w:numId w:val="1"/>
        </w:numPr>
        <w:spacing w:after="0" w:line="240" w:lineRule="auto"/>
        <w:jc w:val="both"/>
        <w:rPr>
          <w:bCs/>
        </w:rPr>
      </w:pPr>
      <w:r>
        <w:rPr>
          <w:bCs/>
        </w:rPr>
        <w:t xml:space="preserve">Le délai d’interdiction pour les </w:t>
      </w:r>
      <w:r w:rsidRPr="006E5D13">
        <w:rPr>
          <w:bCs/>
        </w:rPr>
        <w:t>produits inte</w:t>
      </w:r>
      <w:r>
        <w:rPr>
          <w:bCs/>
        </w:rPr>
        <w:t>rdits au 3 juillet 2021 laisse</w:t>
      </w:r>
      <w:r w:rsidRPr="006E5D13">
        <w:rPr>
          <w:bCs/>
        </w:rPr>
        <w:t xml:space="preserve"> suffisamment de temps pour </w:t>
      </w:r>
      <w:r>
        <w:rPr>
          <w:bCs/>
        </w:rPr>
        <w:t xml:space="preserve">écouler les stocks. </w:t>
      </w:r>
    </w:p>
    <w:p w14:paraId="3A619716" w14:textId="77777777" w:rsidR="00C1220B" w:rsidRDefault="00C1220B" w:rsidP="00C1220B">
      <w:pPr>
        <w:spacing w:after="0" w:line="240" w:lineRule="auto"/>
        <w:jc w:val="both"/>
        <w:rPr>
          <w:bCs/>
        </w:rPr>
      </w:pPr>
    </w:p>
    <w:p w14:paraId="4CEE03C1" w14:textId="77777777" w:rsidR="00C1220B" w:rsidRPr="00D51309" w:rsidRDefault="00C1220B" w:rsidP="00C1220B">
      <w:pPr>
        <w:spacing w:after="0" w:line="240" w:lineRule="auto"/>
        <w:jc w:val="both"/>
        <w:rPr>
          <w:bCs/>
        </w:rPr>
      </w:pPr>
      <w:r w:rsidRPr="00D51309">
        <w:rPr>
          <w:bCs/>
        </w:rPr>
        <w:t>Cependant la question de l’écoulement des stocks</w:t>
      </w:r>
      <w:r>
        <w:rPr>
          <w:bCs/>
        </w:rPr>
        <w:t xml:space="preserve"> se pose pour les produits interdits au 1</w:t>
      </w:r>
      <w:r w:rsidRPr="00D51309">
        <w:rPr>
          <w:bCs/>
          <w:vertAlign w:val="superscript"/>
        </w:rPr>
        <w:t>er</w:t>
      </w:r>
      <w:r>
        <w:rPr>
          <w:bCs/>
        </w:rPr>
        <w:t xml:space="preserve"> janvier 2020 et qui n’étaient pas connus jusqu’à présent. Un délai d’écoulement des stocks n’est pas envisageable pour les pailles, piques à steak, agitateurs et couverts vendus à l’unité ou en lot, mais il existe une </w:t>
      </w:r>
      <w:r w:rsidRPr="00D51309">
        <w:rPr>
          <w:b/>
          <w:bCs/>
        </w:rPr>
        <w:t>demande commune de l’ensemble des acteurs pour obtenir un délai d’écoulement pour les produits contenant des couverts</w:t>
      </w:r>
      <w:r>
        <w:rPr>
          <w:b/>
          <w:bCs/>
        </w:rPr>
        <w:t xml:space="preserve"> qui sont mis sur le marché / achetés en BtoB avant le 1</w:t>
      </w:r>
      <w:r w:rsidRPr="00D51309">
        <w:rPr>
          <w:b/>
          <w:bCs/>
          <w:vertAlign w:val="superscript"/>
        </w:rPr>
        <w:t>er</w:t>
      </w:r>
      <w:r>
        <w:rPr>
          <w:b/>
          <w:bCs/>
        </w:rPr>
        <w:t xml:space="preserve"> janvier 2020</w:t>
      </w:r>
      <w:r w:rsidRPr="004845A0">
        <w:rPr>
          <w:bCs/>
        </w:rPr>
        <w:t xml:space="preserve"> (petits pots de glace avec cuillère en plastique, pâtes déshydratées,…). </w:t>
      </w:r>
    </w:p>
    <w:p w14:paraId="6212D801" w14:textId="77777777" w:rsidR="00C1220B" w:rsidRDefault="00C1220B" w:rsidP="00C1220B">
      <w:pPr>
        <w:spacing w:after="0" w:line="240" w:lineRule="auto"/>
        <w:jc w:val="both"/>
        <w:rPr>
          <w:rFonts w:cstheme="minorHAnsi"/>
          <w:i/>
        </w:rPr>
      </w:pPr>
    </w:p>
    <w:p w14:paraId="07F596DA" w14:textId="77777777" w:rsidR="00C1220B" w:rsidRPr="00C07334" w:rsidRDefault="00C1220B" w:rsidP="00C1220B">
      <w:pPr>
        <w:pStyle w:val="Sansinterligne"/>
        <w:numPr>
          <w:ilvl w:val="0"/>
          <w:numId w:val="4"/>
        </w:numPr>
        <w:jc w:val="both"/>
        <w:rPr>
          <w:rFonts w:cstheme="minorHAnsi"/>
          <w:b/>
        </w:rPr>
      </w:pPr>
      <w:r w:rsidRPr="00C07334">
        <w:rPr>
          <w:rFonts w:cstheme="minorHAnsi"/>
          <w:b/>
        </w:rPr>
        <w:t>Est-ce que le décret</w:t>
      </w:r>
      <w:r>
        <w:rPr>
          <w:rFonts w:cstheme="minorHAnsi"/>
          <w:b/>
        </w:rPr>
        <w:t xml:space="preserve"> du 30 mai 2016</w:t>
      </w:r>
      <w:r>
        <w:rPr>
          <w:rStyle w:val="Appelnotedebasdep"/>
          <w:rFonts w:cstheme="minorHAnsi"/>
          <w:b/>
        </w:rPr>
        <w:footnoteReference w:id="3"/>
      </w:r>
      <w:r w:rsidRPr="00C07334">
        <w:rPr>
          <w:rFonts w:cstheme="minorHAnsi"/>
          <w:b/>
        </w:rPr>
        <w:t xml:space="preserve"> et la FAQ</w:t>
      </w:r>
      <w:r>
        <w:rPr>
          <w:rStyle w:val="Appelnotedebasdep"/>
          <w:rFonts w:cstheme="minorHAnsi"/>
          <w:b/>
        </w:rPr>
        <w:footnoteReference w:id="4"/>
      </w:r>
      <w:r w:rsidRPr="00C07334">
        <w:rPr>
          <w:rFonts w:cstheme="minorHAnsi"/>
          <w:b/>
        </w:rPr>
        <w:t xml:space="preserve"> rédigée suite </w:t>
      </w:r>
      <w:r>
        <w:rPr>
          <w:rFonts w:cstheme="minorHAnsi"/>
          <w:b/>
        </w:rPr>
        <w:t>à l’interdiction des verres, gobelets et assiettes jetables en 2015</w:t>
      </w:r>
      <w:r w:rsidRPr="00C07334">
        <w:rPr>
          <w:rFonts w:cstheme="minorHAnsi"/>
          <w:b/>
        </w:rPr>
        <w:t xml:space="preserve"> est toujours valable ? </w:t>
      </w:r>
    </w:p>
    <w:p w14:paraId="73A8DFAA" w14:textId="77777777" w:rsidR="00C1220B" w:rsidRPr="00C07334" w:rsidRDefault="00C1220B" w:rsidP="00C1220B">
      <w:pPr>
        <w:pStyle w:val="Sansinterligne"/>
        <w:jc w:val="both"/>
        <w:rPr>
          <w:rFonts w:cstheme="minorHAnsi"/>
          <w:i/>
        </w:rPr>
      </w:pPr>
    </w:p>
    <w:p w14:paraId="30997EFC" w14:textId="77777777" w:rsidR="00C1220B" w:rsidRDefault="00C1220B" w:rsidP="00C1220B">
      <w:pPr>
        <w:pStyle w:val="Sansinterligne"/>
        <w:jc w:val="both"/>
        <w:rPr>
          <w:bCs/>
        </w:rPr>
      </w:pPr>
      <w:r w:rsidRPr="004845A0">
        <w:rPr>
          <w:bCs/>
        </w:rPr>
        <w:t xml:space="preserve">Le </w:t>
      </w:r>
      <w:r>
        <w:rPr>
          <w:bCs/>
        </w:rPr>
        <w:t xml:space="preserve">projet de </w:t>
      </w:r>
      <w:r w:rsidRPr="004845A0">
        <w:rPr>
          <w:bCs/>
        </w:rPr>
        <w:t>décret</w:t>
      </w:r>
      <w:r>
        <w:rPr>
          <w:bCs/>
        </w:rPr>
        <w:t xml:space="preserve"> remplacera les dispositions du décret du 30 mai  2016. La FAQ devrait également être modifiée pour prendre en compte les évolutions et les nouveaux produits interdits : afin d’assurer une plus grande sécurité juridique aux entreprises, la FAQ pourrait faire l’objet d’un « avis » publié au journal officiel, qu’il serait plus facile d’opposer lors de contrôles de l’administration. </w:t>
      </w:r>
    </w:p>
    <w:p w14:paraId="0BA957B3" w14:textId="77777777" w:rsidR="00C1220B" w:rsidRDefault="00C1220B" w:rsidP="00C1220B">
      <w:pPr>
        <w:pStyle w:val="Sansinterligne"/>
        <w:jc w:val="both"/>
        <w:rPr>
          <w:bCs/>
        </w:rPr>
      </w:pPr>
    </w:p>
    <w:p w14:paraId="7A9632CF" w14:textId="77777777" w:rsidR="00C1220B" w:rsidRDefault="00C1220B" w:rsidP="00C1220B">
      <w:pPr>
        <w:pStyle w:val="Sansinterligne"/>
        <w:jc w:val="both"/>
        <w:rPr>
          <w:bCs/>
        </w:rPr>
      </w:pPr>
      <w:r>
        <w:rPr>
          <w:bCs/>
        </w:rPr>
        <w:t xml:space="preserve">Le critère de réutilisabilité de la FAQ de 2017 pourrait être repris dans cet avis : nos organisations insistent particulièrement auprès des pouvoirs publics sur le fait que les gammes de produits réutilisables ont été développées sur la base de ce critère. </w:t>
      </w:r>
    </w:p>
    <w:p w14:paraId="6F2825A9" w14:textId="77777777" w:rsidR="00C1220B" w:rsidRDefault="00C1220B" w:rsidP="00C1220B">
      <w:pPr>
        <w:pStyle w:val="Sansinterligne"/>
        <w:jc w:val="both"/>
        <w:rPr>
          <w:rFonts w:cstheme="minorHAnsi"/>
          <w:b/>
        </w:rPr>
      </w:pPr>
    </w:p>
    <w:p w14:paraId="7239A4F9" w14:textId="77777777" w:rsidR="00C1220B" w:rsidRDefault="00C1220B" w:rsidP="00C1220B">
      <w:pPr>
        <w:pStyle w:val="Sansinterligne"/>
        <w:numPr>
          <w:ilvl w:val="0"/>
          <w:numId w:val="4"/>
        </w:numPr>
        <w:jc w:val="both"/>
        <w:rPr>
          <w:rFonts w:cstheme="minorHAnsi"/>
          <w:i/>
        </w:rPr>
      </w:pPr>
      <w:r>
        <w:rPr>
          <w:rFonts w:cstheme="minorHAnsi"/>
          <w:b/>
        </w:rPr>
        <w:t xml:space="preserve">Est-ce que les produits en cartons laminés seront interdits ? </w:t>
      </w:r>
    </w:p>
    <w:p w14:paraId="287AE9E8" w14:textId="77777777" w:rsidR="00C1220B" w:rsidRDefault="00C1220B" w:rsidP="00C1220B">
      <w:pPr>
        <w:pStyle w:val="Sansinterligne"/>
        <w:jc w:val="both"/>
        <w:rPr>
          <w:rFonts w:cstheme="minorHAnsi"/>
          <w:i/>
        </w:rPr>
      </w:pPr>
    </w:p>
    <w:p w14:paraId="0E6C3018" w14:textId="77777777" w:rsidR="00C1220B" w:rsidRPr="00703AC2" w:rsidRDefault="00C1220B" w:rsidP="00C1220B">
      <w:pPr>
        <w:pStyle w:val="Sansinterligne"/>
        <w:jc w:val="both"/>
        <w:rPr>
          <w:bCs/>
        </w:rPr>
      </w:pPr>
      <w:r>
        <w:rPr>
          <w:bCs/>
        </w:rPr>
        <w:t>Pour mémoire, p</w:t>
      </w:r>
      <w:r w:rsidRPr="00703AC2">
        <w:rPr>
          <w:bCs/>
        </w:rPr>
        <w:t>our les produits visés par une interdiction par la SUP, comme les assiettes, pailles et couverts, les alternatives en car</w:t>
      </w:r>
      <w:r>
        <w:rPr>
          <w:bCs/>
        </w:rPr>
        <w:t>tons laminés sont interdites.</w:t>
      </w:r>
      <w:r w:rsidRPr="00703AC2">
        <w:rPr>
          <w:bCs/>
        </w:rPr>
        <w:t xml:space="preserve"> </w:t>
      </w:r>
    </w:p>
    <w:p w14:paraId="677DAEC8" w14:textId="77777777" w:rsidR="00C1220B" w:rsidRDefault="00C1220B" w:rsidP="00C1220B">
      <w:pPr>
        <w:pStyle w:val="Sansinterligne"/>
        <w:jc w:val="both"/>
        <w:rPr>
          <w:bCs/>
        </w:rPr>
      </w:pPr>
    </w:p>
    <w:p w14:paraId="5BA712FC" w14:textId="77777777" w:rsidR="00C1220B" w:rsidRDefault="00C1220B" w:rsidP="00C1220B">
      <w:pPr>
        <w:pStyle w:val="Sansinterligne"/>
        <w:jc w:val="both"/>
        <w:rPr>
          <w:bCs/>
        </w:rPr>
      </w:pPr>
      <w:r>
        <w:rPr>
          <w:bCs/>
        </w:rPr>
        <w:lastRenderedPageBreak/>
        <w:t>Pour les gobelets, i</w:t>
      </w:r>
      <w:r w:rsidRPr="00703AC2">
        <w:rPr>
          <w:bCs/>
        </w:rPr>
        <w:t xml:space="preserve">l conviendra d’attendre la rédaction de l’arrêté </w:t>
      </w:r>
      <w:r>
        <w:rPr>
          <w:bCs/>
        </w:rPr>
        <w:t xml:space="preserve">sur le % maximal de plastique autorisé (teneur qui sera diminuée progressivement) afin de déterminer si les gobelets en carton laminé sont concernés et si oui, à quelle échéance. </w:t>
      </w:r>
    </w:p>
    <w:p w14:paraId="33902FB4" w14:textId="77777777" w:rsidR="00C1220B" w:rsidRDefault="00C1220B" w:rsidP="00C1220B">
      <w:pPr>
        <w:pStyle w:val="Sansinterligne"/>
        <w:jc w:val="both"/>
        <w:rPr>
          <w:bCs/>
        </w:rPr>
      </w:pPr>
    </w:p>
    <w:p w14:paraId="3D82E448" w14:textId="77777777" w:rsidR="00C1220B" w:rsidRPr="004845A0" w:rsidRDefault="00C1220B" w:rsidP="00C1220B">
      <w:pPr>
        <w:pStyle w:val="Paragraphedeliste"/>
        <w:spacing w:after="0" w:line="240" w:lineRule="auto"/>
        <w:jc w:val="both"/>
        <w:rPr>
          <w:rFonts w:cstheme="minorHAnsi"/>
          <w:i/>
        </w:rPr>
      </w:pPr>
    </w:p>
    <w:p w14:paraId="617C7A77" w14:textId="77777777" w:rsidR="00A55CCC" w:rsidRDefault="00A55CCC"/>
    <w:sectPr w:rsidR="00A55CCC">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2575B" w14:textId="77777777" w:rsidR="000C4EDF" w:rsidRDefault="000C4EDF" w:rsidP="00C1220B">
      <w:pPr>
        <w:spacing w:after="0" w:line="240" w:lineRule="auto"/>
      </w:pPr>
      <w:r>
        <w:separator/>
      </w:r>
    </w:p>
  </w:endnote>
  <w:endnote w:type="continuationSeparator" w:id="0">
    <w:p w14:paraId="53F38B48" w14:textId="77777777" w:rsidR="000C4EDF" w:rsidRDefault="000C4EDF" w:rsidP="00C1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773833"/>
      <w:docPartObj>
        <w:docPartGallery w:val="Page Numbers (Bottom of Page)"/>
        <w:docPartUnique/>
      </w:docPartObj>
    </w:sdtPr>
    <w:sdtEndPr>
      <w:rPr>
        <w:sz w:val="18"/>
        <w:szCs w:val="18"/>
      </w:rPr>
    </w:sdtEndPr>
    <w:sdtContent>
      <w:p w14:paraId="2156E89B" w14:textId="77777777" w:rsidR="00AF7400" w:rsidRPr="00535A7C" w:rsidRDefault="005B4DA6">
        <w:pPr>
          <w:pStyle w:val="Pieddepage"/>
          <w:jc w:val="right"/>
          <w:rPr>
            <w:sz w:val="18"/>
            <w:szCs w:val="18"/>
          </w:rPr>
        </w:pPr>
        <w:r w:rsidRPr="00535A7C">
          <w:rPr>
            <w:sz w:val="18"/>
            <w:szCs w:val="18"/>
          </w:rPr>
          <w:fldChar w:fldCharType="begin"/>
        </w:r>
        <w:r w:rsidRPr="00535A7C">
          <w:rPr>
            <w:sz w:val="18"/>
            <w:szCs w:val="18"/>
          </w:rPr>
          <w:instrText>PAGE   \* MERGEFORMAT</w:instrText>
        </w:r>
        <w:r w:rsidRPr="00535A7C">
          <w:rPr>
            <w:sz w:val="18"/>
            <w:szCs w:val="18"/>
          </w:rPr>
          <w:fldChar w:fldCharType="separate"/>
        </w:r>
        <w:r w:rsidR="00F6731A">
          <w:rPr>
            <w:noProof/>
            <w:sz w:val="18"/>
            <w:szCs w:val="18"/>
          </w:rPr>
          <w:t>1</w:t>
        </w:r>
        <w:r w:rsidRPr="00535A7C">
          <w:rPr>
            <w:sz w:val="18"/>
            <w:szCs w:val="18"/>
          </w:rPr>
          <w:fldChar w:fldCharType="end"/>
        </w:r>
      </w:p>
    </w:sdtContent>
  </w:sdt>
  <w:p w14:paraId="1E263E8E" w14:textId="77777777" w:rsidR="00AF7400" w:rsidRDefault="000C4E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600A5" w14:textId="77777777" w:rsidR="000C4EDF" w:rsidRDefault="000C4EDF" w:rsidP="00C1220B">
      <w:pPr>
        <w:spacing w:after="0" w:line="240" w:lineRule="auto"/>
      </w:pPr>
      <w:r>
        <w:separator/>
      </w:r>
    </w:p>
  </w:footnote>
  <w:footnote w:type="continuationSeparator" w:id="0">
    <w:p w14:paraId="35B1DD3E" w14:textId="77777777" w:rsidR="000C4EDF" w:rsidRDefault="000C4EDF" w:rsidP="00C1220B">
      <w:pPr>
        <w:spacing w:after="0" w:line="240" w:lineRule="auto"/>
      </w:pPr>
      <w:r>
        <w:continuationSeparator/>
      </w:r>
    </w:p>
  </w:footnote>
  <w:footnote w:id="1">
    <w:p w14:paraId="097CF841" w14:textId="77777777" w:rsidR="00C1220B" w:rsidRDefault="00C1220B" w:rsidP="00C1220B">
      <w:pPr>
        <w:spacing w:after="0"/>
      </w:pPr>
      <w:r>
        <w:rPr>
          <w:rStyle w:val="Appelnotedebasdep"/>
        </w:rPr>
        <w:footnoteRef/>
      </w:r>
      <w:r>
        <w:t xml:space="preserve"> </w:t>
      </w:r>
      <w:hyperlink r:id="rId1" w:history="1">
        <w:r w:rsidRPr="00161E44">
          <w:rPr>
            <w:rStyle w:val="Lienhypertexte"/>
            <w:sz w:val="20"/>
            <w:szCs w:val="20"/>
          </w:rPr>
          <w:t>http://ec.europa.eu/growth/tools-databases/tris/fr/index.cfm/search/?trisaction=search.detail&amp;year=2019&amp;num=346&amp;mLang=fr&amp;CFID=7394935&amp;CFTOKEN=b96ec53c9a726b89-3D8546A0-C6B2-A023-D3F0CFB6C3B52D0B</w:t>
        </w:r>
      </w:hyperlink>
    </w:p>
  </w:footnote>
  <w:footnote w:id="2">
    <w:p w14:paraId="1A4C84F8" w14:textId="77777777" w:rsidR="00C1220B" w:rsidRDefault="00C1220B" w:rsidP="00C1220B">
      <w:pPr>
        <w:spacing w:after="0"/>
        <w:jc w:val="both"/>
      </w:pPr>
      <w:r>
        <w:rPr>
          <w:rStyle w:val="Appelnotedebasdep"/>
        </w:rPr>
        <w:footnoteRef/>
      </w:r>
      <w:r>
        <w:t xml:space="preserve"> </w:t>
      </w:r>
      <w:hyperlink r:id="rId2" w:history="1">
        <w:r w:rsidRPr="00161E44">
          <w:rPr>
            <w:rStyle w:val="Lienhypertexte"/>
            <w:sz w:val="20"/>
            <w:szCs w:val="20"/>
          </w:rPr>
          <w:t>https://www.gouvernement.fr/partage/11044-declaration-de-politique-generale-d-edouard-philippe-premier-ministre</w:t>
        </w:r>
      </w:hyperlink>
    </w:p>
  </w:footnote>
  <w:footnote w:id="3">
    <w:p w14:paraId="0495F025" w14:textId="77777777" w:rsidR="00C1220B" w:rsidRDefault="00C1220B" w:rsidP="00C1220B">
      <w:pPr>
        <w:pStyle w:val="Notedebasdepage"/>
      </w:pPr>
      <w:r>
        <w:rPr>
          <w:rStyle w:val="Appelnotedebasdep"/>
        </w:rPr>
        <w:footnoteRef/>
      </w:r>
      <w:r>
        <w:t xml:space="preserve"> </w:t>
      </w:r>
      <w:hyperlink r:id="rId3" w:history="1">
        <w:r w:rsidRPr="00483416">
          <w:rPr>
            <w:rStyle w:val="Lienhypertexte"/>
          </w:rPr>
          <w:t>https://www.legifrance.gouv.fr/affichTexte.do?cidTexte=JORFTEXT000032320564&amp;categorieLien=id</w:t>
        </w:r>
      </w:hyperlink>
      <w:r>
        <w:t xml:space="preserve"> </w:t>
      </w:r>
    </w:p>
  </w:footnote>
  <w:footnote w:id="4">
    <w:p w14:paraId="072A6AF3" w14:textId="77777777" w:rsidR="00C1220B" w:rsidRDefault="00C1220B" w:rsidP="00C1220B">
      <w:pPr>
        <w:pStyle w:val="Notedebasdepage"/>
      </w:pPr>
      <w:r>
        <w:rPr>
          <w:rStyle w:val="Appelnotedebasdep"/>
        </w:rPr>
        <w:footnoteRef/>
      </w:r>
      <w:r>
        <w:t xml:space="preserve"> </w:t>
      </w:r>
      <w:hyperlink r:id="rId4" w:history="1">
        <w:r w:rsidRPr="00483416">
          <w:rPr>
            <w:rStyle w:val="Lienhypertexte"/>
          </w:rPr>
          <w:t>https://www.ecologique-solidaire.gouv.fr/sites/default/files/FAQ_vaisselle_jetable_VF_Juin2017.pdf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B9F3C" w14:textId="77777777" w:rsidR="00AF7400" w:rsidRPr="00F13C16" w:rsidRDefault="000C4EDF" w:rsidP="00334E73">
    <w:pPr>
      <w:pStyle w:val="Sansinterligne"/>
    </w:pPr>
  </w:p>
  <w:p w14:paraId="0E88B6BD" w14:textId="49B944E4" w:rsidR="00AF7400" w:rsidRPr="00334E73" w:rsidRDefault="005B4DA6" w:rsidP="00334E73">
    <w:pPr>
      <w:pStyle w:val="Sansinterligne"/>
      <w:jc w:val="right"/>
    </w:pPr>
    <w:r w:rsidRPr="00334E73">
      <w:rPr>
        <w:color w:val="C00000"/>
      </w:rPr>
      <w:t xml:space="preserve">Version du </w:t>
    </w:r>
    <w:r>
      <w:rPr>
        <w:color w:val="C00000"/>
      </w:rPr>
      <w:t>2</w:t>
    </w:r>
    <w:r w:rsidR="00622472">
      <w:rPr>
        <w:color w:val="C00000"/>
      </w:rPr>
      <w:t>9</w:t>
    </w:r>
    <w:r>
      <w:rPr>
        <w:color w:val="C00000"/>
      </w:rPr>
      <w:t>/07</w:t>
    </w:r>
    <w:r w:rsidRPr="00334E73">
      <w:rPr>
        <w:color w:val="C00000"/>
      </w:rPr>
      <w:t>/2019</w:t>
    </w:r>
  </w:p>
  <w:p w14:paraId="2DD7208A" w14:textId="77777777" w:rsidR="00AF7400" w:rsidRDefault="000C4E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B73"/>
    <w:multiLevelType w:val="hybridMultilevel"/>
    <w:tmpl w:val="D144C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C0E9C"/>
    <w:multiLevelType w:val="hybridMultilevel"/>
    <w:tmpl w:val="5F1E9594"/>
    <w:lvl w:ilvl="0" w:tplc="BCF46B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112C37"/>
    <w:multiLevelType w:val="hybridMultilevel"/>
    <w:tmpl w:val="07440BB0"/>
    <w:lvl w:ilvl="0" w:tplc="883CF2C4">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E11972"/>
    <w:multiLevelType w:val="hybridMultilevel"/>
    <w:tmpl w:val="D4623626"/>
    <w:lvl w:ilvl="0" w:tplc="9AA65CFE">
      <w:start w:val="1"/>
      <w:numFmt w:val="upp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5E41AE2"/>
    <w:multiLevelType w:val="hybridMultilevel"/>
    <w:tmpl w:val="3AD20718"/>
    <w:lvl w:ilvl="0" w:tplc="AEE659F4">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4F"/>
    <w:rsid w:val="00012D91"/>
    <w:rsid w:val="0002363C"/>
    <w:rsid w:val="000C4EDF"/>
    <w:rsid w:val="00116B4D"/>
    <w:rsid w:val="00142AC4"/>
    <w:rsid w:val="0019757C"/>
    <w:rsid w:val="001B5755"/>
    <w:rsid w:val="0022232F"/>
    <w:rsid w:val="00291AB8"/>
    <w:rsid w:val="002C11CD"/>
    <w:rsid w:val="0037267C"/>
    <w:rsid w:val="00427F0B"/>
    <w:rsid w:val="0049746B"/>
    <w:rsid w:val="005179FE"/>
    <w:rsid w:val="005B2F3E"/>
    <w:rsid w:val="005B3E66"/>
    <w:rsid w:val="005B4DA6"/>
    <w:rsid w:val="00622472"/>
    <w:rsid w:val="007859AC"/>
    <w:rsid w:val="008F31DB"/>
    <w:rsid w:val="008F67B1"/>
    <w:rsid w:val="009656DC"/>
    <w:rsid w:val="00A55CCC"/>
    <w:rsid w:val="00AC46BD"/>
    <w:rsid w:val="00AF1E31"/>
    <w:rsid w:val="00B631C4"/>
    <w:rsid w:val="00B7388E"/>
    <w:rsid w:val="00BB60BC"/>
    <w:rsid w:val="00BE3EFE"/>
    <w:rsid w:val="00C1220B"/>
    <w:rsid w:val="00CD4649"/>
    <w:rsid w:val="00CE2B69"/>
    <w:rsid w:val="00D356F8"/>
    <w:rsid w:val="00DA263A"/>
    <w:rsid w:val="00DC5924"/>
    <w:rsid w:val="00E66D1F"/>
    <w:rsid w:val="00E95152"/>
    <w:rsid w:val="00EA58CE"/>
    <w:rsid w:val="00F6731A"/>
    <w:rsid w:val="00F8734F"/>
    <w:rsid w:val="00FA60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6371"/>
  <w15:docId w15:val="{2FF1C034-B8EF-4C2A-97C0-A9CC8B7F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20B"/>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1220B"/>
    <w:pPr>
      <w:spacing w:after="0" w:line="240" w:lineRule="auto"/>
    </w:pPr>
  </w:style>
  <w:style w:type="character" w:styleId="Lienhypertexte">
    <w:name w:val="Hyperlink"/>
    <w:basedOn w:val="Policepardfaut"/>
    <w:uiPriority w:val="99"/>
    <w:unhideWhenUsed/>
    <w:rsid w:val="00C1220B"/>
    <w:rPr>
      <w:color w:val="0563C1"/>
      <w:u w:val="single"/>
    </w:rPr>
  </w:style>
  <w:style w:type="paragraph" w:styleId="Paragraphedeliste">
    <w:name w:val="List Paragraph"/>
    <w:basedOn w:val="Normal"/>
    <w:uiPriority w:val="34"/>
    <w:qFormat/>
    <w:rsid w:val="00C1220B"/>
    <w:pPr>
      <w:ind w:left="720"/>
      <w:contextualSpacing/>
    </w:pPr>
  </w:style>
  <w:style w:type="paragraph" w:styleId="Notedebasdepage">
    <w:name w:val="footnote text"/>
    <w:basedOn w:val="Normal"/>
    <w:link w:val="NotedebasdepageCar"/>
    <w:uiPriority w:val="99"/>
    <w:semiHidden/>
    <w:unhideWhenUsed/>
    <w:rsid w:val="00C1220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220B"/>
    <w:rPr>
      <w:sz w:val="20"/>
      <w:szCs w:val="20"/>
    </w:rPr>
  </w:style>
  <w:style w:type="character" w:styleId="Appelnotedebasdep">
    <w:name w:val="footnote reference"/>
    <w:basedOn w:val="Policepardfaut"/>
    <w:uiPriority w:val="99"/>
    <w:semiHidden/>
    <w:unhideWhenUsed/>
    <w:rsid w:val="00C1220B"/>
    <w:rPr>
      <w:vertAlign w:val="superscript"/>
    </w:rPr>
  </w:style>
  <w:style w:type="paragraph" w:styleId="En-tte">
    <w:name w:val="header"/>
    <w:basedOn w:val="Normal"/>
    <w:link w:val="En-tteCar"/>
    <w:uiPriority w:val="99"/>
    <w:unhideWhenUsed/>
    <w:rsid w:val="00C1220B"/>
    <w:pPr>
      <w:tabs>
        <w:tab w:val="center" w:pos="4536"/>
        <w:tab w:val="right" w:pos="9072"/>
      </w:tabs>
      <w:spacing w:after="0" w:line="240" w:lineRule="auto"/>
    </w:pPr>
  </w:style>
  <w:style w:type="character" w:customStyle="1" w:styleId="En-tteCar">
    <w:name w:val="En-tête Car"/>
    <w:basedOn w:val="Policepardfaut"/>
    <w:link w:val="En-tte"/>
    <w:uiPriority w:val="99"/>
    <w:rsid w:val="00C1220B"/>
  </w:style>
  <w:style w:type="paragraph" w:styleId="Pieddepage">
    <w:name w:val="footer"/>
    <w:basedOn w:val="Normal"/>
    <w:link w:val="PieddepageCar"/>
    <w:uiPriority w:val="99"/>
    <w:unhideWhenUsed/>
    <w:rsid w:val="00C122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220B"/>
  </w:style>
  <w:style w:type="paragraph" w:styleId="NormalWeb">
    <w:name w:val="Normal (Web)"/>
    <w:basedOn w:val="Normal"/>
    <w:uiPriority w:val="99"/>
    <w:unhideWhenUsed/>
    <w:rsid w:val="00C1220B"/>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Grille4-Accentuation11">
    <w:name w:val="Tableau Grille 4 - Accentuation 11"/>
    <w:basedOn w:val="TableauNormal"/>
    <w:uiPriority w:val="49"/>
    <w:rsid w:val="00C1220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61">
    <w:name w:val="Tableau Grille 4 - Accentuation 61"/>
    <w:basedOn w:val="TableauNormal"/>
    <w:uiPriority w:val="49"/>
    <w:rsid w:val="00C1220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Marquedecommentaire">
    <w:name w:val="annotation reference"/>
    <w:basedOn w:val="Policepardfaut"/>
    <w:uiPriority w:val="99"/>
    <w:semiHidden/>
    <w:unhideWhenUsed/>
    <w:rsid w:val="00D356F8"/>
    <w:rPr>
      <w:sz w:val="16"/>
      <w:szCs w:val="16"/>
    </w:rPr>
  </w:style>
  <w:style w:type="paragraph" w:styleId="Commentaire">
    <w:name w:val="annotation text"/>
    <w:basedOn w:val="Normal"/>
    <w:link w:val="CommentaireCar"/>
    <w:uiPriority w:val="99"/>
    <w:semiHidden/>
    <w:unhideWhenUsed/>
    <w:rsid w:val="00D356F8"/>
    <w:pPr>
      <w:spacing w:line="240" w:lineRule="auto"/>
    </w:pPr>
    <w:rPr>
      <w:sz w:val="20"/>
      <w:szCs w:val="20"/>
    </w:rPr>
  </w:style>
  <w:style w:type="character" w:customStyle="1" w:styleId="CommentaireCar">
    <w:name w:val="Commentaire Car"/>
    <w:basedOn w:val="Policepardfaut"/>
    <w:link w:val="Commentaire"/>
    <w:uiPriority w:val="99"/>
    <w:semiHidden/>
    <w:rsid w:val="00D356F8"/>
    <w:rPr>
      <w:sz w:val="20"/>
      <w:szCs w:val="20"/>
    </w:rPr>
  </w:style>
  <w:style w:type="paragraph" w:styleId="Objetducommentaire">
    <w:name w:val="annotation subject"/>
    <w:basedOn w:val="Commentaire"/>
    <w:next w:val="Commentaire"/>
    <w:link w:val="ObjetducommentaireCar"/>
    <w:uiPriority w:val="99"/>
    <w:semiHidden/>
    <w:unhideWhenUsed/>
    <w:rsid w:val="00D356F8"/>
    <w:rPr>
      <w:b/>
      <w:bCs/>
    </w:rPr>
  </w:style>
  <w:style w:type="character" w:customStyle="1" w:styleId="ObjetducommentaireCar">
    <w:name w:val="Objet du commentaire Car"/>
    <w:basedOn w:val="CommentaireCar"/>
    <w:link w:val="Objetducommentaire"/>
    <w:uiPriority w:val="99"/>
    <w:semiHidden/>
    <w:rsid w:val="00D356F8"/>
    <w:rPr>
      <w:b/>
      <w:bCs/>
      <w:sz w:val="20"/>
      <w:szCs w:val="20"/>
    </w:rPr>
  </w:style>
  <w:style w:type="paragraph" w:styleId="Textedebulles">
    <w:name w:val="Balloon Text"/>
    <w:basedOn w:val="Normal"/>
    <w:link w:val="TextedebullesCar"/>
    <w:uiPriority w:val="99"/>
    <w:semiHidden/>
    <w:unhideWhenUsed/>
    <w:rsid w:val="00D356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5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affichTexte.do?cidTexte=JORFTEXT000032320564&amp;categorieLien=id" TargetMode="External"/><Relationship Id="rId2" Type="http://schemas.openxmlformats.org/officeDocument/2006/relationships/hyperlink" Target="https://www.gouvernement.fr/partage/11044-declaration-de-politique-generale-d-edouard-philippe-premier-ministre" TargetMode="External"/><Relationship Id="rId1" Type="http://schemas.openxmlformats.org/officeDocument/2006/relationships/hyperlink" Target="http://ec.europa.eu/growth/tools-databases/tris/fr/index.cfm/search/?trisaction=search.detail&amp;year=2019&amp;num=346&amp;mLang=fr&amp;CFID=7394935&amp;CFTOKEN=b96ec53c9a726b89-3D8546A0-C6B2-A023-D3F0CFB6C3B52D0B" TargetMode="External"/><Relationship Id="rId4" Type="http://schemas.openxmlformats.org/officeDocument/2006/relationships/hyperlink" Target="https://www.ecologique-solidaire.gouv.fr/sites/default/files/FAQ_vaisselle_jetable_VF_Juin201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8393-5752-43BB-88FA-ABA6E1460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2066</Words>
  <Characters>11365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dc:creator>
  <cp:keywords/>
  <dc:description/>
  <cp:lastModifiedBy>Sécrétariat FIPA-SNCE</cp:lastModifiedBy>
  <cp:revision>2</cp:revision>
  <dcterms:created xsi:type="dcterms:W3CDTF">2019-08-12T13:14:00Z</dcterms:created>
  <dcterms:modified xsi:type="dcterms:W3CDTF">2019-08-12T13:14:00Z</dcterms:modified>
</cp:coreProperties>
</file>